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9"/>
        <w:gridCol w:w="6515"/>
      </w:tblGrid>
      <w:tr w:rsidR="007470F8" w:rsidRPr="007470F8">
        <w:trPr>
          <w:trHeight w:val="1976"/>
        </w:trPr>
        <w:tc>
          <w:tcPr>
            <w:tcW w:w="1999" w:type="dxa"/>
            <w:vAlign w:val="center"/>
          </w:tcPr>
          <w:p w:rsidR="008F34C2" w:rsidRPr="007470F8" w:rsidRDefault="003162B0">
            <w:pPr>
              <w:jc w:val="center"/>
              <w:rPr>
                <w:rFonts w:eastAsia="華康隸書體W7"/>
                <w:b/>
                <w:sz w:val="56"/>
                <w:szCs w:val="56"/>
              </w:rPr>
            </w:pPr>
            <w:bookmarkStart w:id="0" w:name="_GoBack"/>
            <w:bookmarkEnd w:id="0"/>
            <w:r w:rsidRPr="003162B0">
              <w:rPr>
                <w:rFonts w:eastAsia="標楷體"/>
                <w:noProof/>
                <w:sz w:val="28"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8572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120" y="21098"/>
                      <wp:lineTo x="21120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:rsidR="008F34C2" w:rsidRPr="003162B0" w:rsidRDefault="008F34C2" w:rsidP="003162B0">
            <w:pPr>
              <w:ind w:leftChars="394" w:left="946"/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3162B0">
              <w:rPr>
                <w:rFonts w:ascii="標楷體" w:eastAsia="標楷體" w:hAnsi="標楷體"/>
                <w:b/>
                <w:sz w:val="56"/>
                <w:szCs w:val="56"/>
              </w:rPr>
              <w:t>法務部新聞稿</w:t>
            </w:r>
          </w:p>
          <w:p w:rsidR="00932393" w:rsidRPr="007470F8" w:rsidRDefault="00932393" w:rsidP="00932393">
            <w:pPr>
              <w:ind w:firstLineChars="500" w:firstLine="1200"/>
              <w:jc w:val="both"/>
              <w:rPr>
                <w:rFonts w:eastAsia="標楷體"/>
              </w:rPr>
            </w:pPr>
            <w:r w:rsidRPr="007470F8">
              <w:rPr>
                <w:rFonts w:eastAsia="標楷體" w:hAnsi="標楷體"/>
              </w:rPr>
              <w:t>發稿日期：</w:t>
            </w:r>
            <w:r w:rsidR="008E3DE1">
              <w:rPr>
                <w:rFonts w:eastAsia="標楷體"/>
              </w:rPr>
              <w:t>10</w:t>
            </w:r>
            <w:r w:rsidR="0098012D">
              <w:rPr>
                <w:rFonts w:eastAsia="標楷體"/>
              </w:rPr>
              <w:t>7</w:t>
            </w:r>
            <w:r w:rsidRPr="007470F8">
              <w:rPr>
                <w:rFonts w:eastAsia="標楷體" w:hAnsi="標楷體"/>
              </w:rPr>
              <w:t>年</w:t>
            </w:r>
            <w:r w:rsidR="0098012D">
              <w:rPr>
                <w:rFonts w:eastAsia="標楷體" w:hAnsi="標楷體"/>
              </w:rPr>
              <w:t>1</w:t>
            </w:r>
            <w:r w:rsidRPr="007470F8">
              <w:rPr>
                <w:rFonts w:eastAsia="標楷體" w:hAnsi="標楷體"/>
              </w:rPr>
              <w:t>月</w:t>
            </w:r>
            <w:r w:rsidR="0098012D">
              <w:rPr>
                <w:rFonts w:eastAsia="標楷體" w:hAnsi="標楷體"/>
              </w:rPr>
              <w:t>25</w:t>
            </w:r>
            <w:r w:rsidRPr="007470F8">
              <w:rPr>
                <w:rFonts w:eastAsia="標楷體" w:hAnsi="標楷體"/>
              </w:rPr>
              <w:t>日</w:t>
            </w:r>
          </w:p>
          <w:p w:rsidR="00932393" w:rsidRPr="007470F8" w:rsidRDefault="00932393" w:rsidP="00932393">
            <w:pPr>
              <w:ind w:firstLineChars="500" w:firstLine="1200"/>
              <w:jc w:val="both"/>
              <w:rPr>
                <w:rFonts w:eastAsia="標楷體"/>
              </w:rPr>
            </w:pPr>
            <w:r w:rsidRPr="007470F8">
              <w:rPr>
                <w:rFonts w:eastAsia="標楷體" w:hAnsi="標楷體"/>
              </w:rPr>
              <w:t>發稿機關：法務部</w:t>
            </w:r>
            <w:r w:rsidR="0098012D">
              <w:rPr>
                <w:rFonts w:eastAsia="標楷體" w:hAnsi="標楷體" w:hint="eastAsia"/>
              </w:rPr>
              <w:t>新聞組</w:t>
            </w:r>
          </w:p>
          <w:p w:rsidR="008F34C2" w:rsidRPr="007470F8" w:rsidRDefault="00932393" w:rsidP="0098012D">
            <w:pPr>
              <w:ind w:firstLineChars="500" w:firstLine="1200"/>
              <w:jc w:val="both"/>
              <w:rPr>
                <w:b/>
                <w:sz w:val="56"/>
                <w:szCs w:val="56"/>
              </w:rPr>
            </w:pPr>
            <w:r w:rsidRPr="007470F8">
              <w:rPr>
                <w:rFonts w:eastAsia="標楷體" w:hAnsi="標楷體"/>
              </w:rPr>
              <w:t>連絡電話：</w:t>
            </w:r>
            <w:r w:rsidR="0098012D">
              <w:rPr>
                <w:rFonts w:eastAsia="標楷體"/>
              </w:rPr>
              <w:t>21910189</w:t>
            </w:r>
            <w:r w:rsidR="0098012D">
              <w:rPr>
                <w:rFonts w:eastAsia="標楷體" w:hint="eastAsia"/>
              </w:rPr>
              <w:t>＃</w:t>
            </w:r>
            <w:r w:rsidR="0098012D">
              <w:rPr>
                <w:rFonts w:eastAsia="標楷體" w:hint="eastAsia"/>
              </w:rPr>
              <w:t>2084</w:t>
            </w:r>
            <w:r w:rsidRPr="007470F8">
              <w:rPr>
                <w:rFonts w:eastAsia="標楷體"/>
              </w:rPr>
              <w:t xml:space="preserve">      </w:t>
            </w:r>
            <w:r w:rsidRPr="007470F8">
              <w:rPr>
                <w:rFonts w:eastAsia="標楷體" w:hAnsi="標楷體"/>
              </w:rPr>
              <w:t>編號：</w:t>
            </w:r>
            <w:r w:rsidR="00324680" w:rsidRPr="007470F8">
              <w:rPr>
                <w:rFonts w:eastAsia="標楷體"/>
              </w:rPr>
              <w:t xml:space="preserve"> </w:t>
            </w:r>
          </w:p>
        </w:tc>
      </w:tr>
    </w:tbl>
    <w:p w:rsidR="008F34C2" w:rsidRPr="007470F8" w:rsidRDefault="000C7A97">
      <w:pPr>
        <w:rPr>
          <w:sz w:val="36"/>
          <w:szCs w:val="36"/>
        </w:rPr>
      </w:pPr>
      <w:r w:rsidRPr="007470F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47E749" wp14:editId="1A80973D">
                <wp:simplePos x="0" y="0"/>
                <wp:positionH relativeFrom="column">
                  <wp:posOffset>0</wp:posOffset>
                </wp:positionH>
                <wp:positionV relativeFrom="paragraph">
                  <wp:posOffset>226695</wp:posOffset>
                </wp:positionV>
                <wp:extent cx="5372100" cy="0"/>
                <wp:effectExtent l="17780" t="17780" r="20320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A07580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8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jdCEwIAACkEAAAOAAAAZHJzL2Uyb0RvYy54bWysU02P2jAQvVfqf7B8h3wssGxEWFUJ9EK7&#10;SLv9AcZ2iFXHtmxDQFX/e8eGILa9VFVzcMaemec388aL51Mn0ZFbJ7QqcTZOMeKKaibUvsTf3taj&#10;OUbOE8WI1IqX+Mwdfl5+/LDoTcFz3WrJuEUAolzRmxK33psiSRxteUfcWBuuwNlo2xEPW7tPmCU9&#10;oHcyydN0lvTaMmM15c7BaX1x4mXEbxpO/UvTOO6RLDFw83G1cd2FNVkuSLG3xLSCXmmQf2DREaHg&#10;0htUTTxBByv+gOoEtdrpxo+p7hLdNILyWANUk6W/VfPaEsNjLdAcZ25tcv8Pln49bi0SrMQ5Rop0&#10;INFGKI7y0JneuAICKrW1oTZ6Uq9mo+l3h5SuWqL2PDJ8OxtIy0JG8i4lbJwB/F3/RTOIIQevY5tO&#10;je0CJDQAnaIa55sa/OQRhcPpw2OepSAaHXwJKYZEY53/zHWHglFiCZwjMDlunA9ESDGEhHuUXgsp&#10;o9hSoR6qnU8fpzHDaSlY8IY4Z/e7Slp0JGFe4hfLAs99mNUHxSJaywlbXW1PhLzYcLtUAQ9qAT5X&#10;6zIQP57Sp9V8NZ+MJvlsNZqkdT36tK4mo9k6e5zWD3VV1dnPQC2bFK1gjKvAbhjObPJ34l+fyWWs&#10;buN560PyHj02DMgO/0g6ihn0u0zCTrPz1g4iwzzG4OvbCQN/vwf7/oUvfwEAAP//AwBQSwMEFAAG&#10;AAgAAAAhAD0a5zzbAAAABgEAAA8AAABkcnMvZG93bnJldi54bWxMj09Lw0AQxe+C32EZwYu0G//V&#10;ELMpteBNCq1SPE6y0ySYnQ3ZbZN+e0c86PG9N7z3m3w5uU6daAitZwO38wQUceVty7WBj/fXWQoq&#10;RGSLnWcycKYAy+LyIsfM+pG3dNrFWkkJhwwNNDH2mdahashhmPueWLKDHxxGkUOt7YCjlLtO3yXJ&#10;QjtsWRYa7GndUPW1OzoDFW7WGzzs9Yjxc/VyU76dhzo15vpqWj2DijTFv2P4wRd0KISp9Ee2QXUG&#10;5JFo4P7xCZSk6cNCjPLX0EWu/+MX3wAAAP//AwBQSwECLQAUAAYACAAAACEAtoM4kv4AAADhAQAA&#10;EwAAAAAAAAAAAAAAAAAAAAAAW0NvbnRlbnRfVHlwZXNdLnhtbFBLAQItABQABgAIAAAAIQA4/SH/&#10;1gAAAJQBAAALAAAAAAAAAAAAAAAAAC8BAABfcmVscy8ucmVsc1BLAQItABQABgAIAAAAIQBS8jdC&#10;EwIAACkEAAAOAAAAAAAAAAAAAAAAAC4CAABkcnMvZTJvRG9jLnhtbFBLAQItABQABgAIAAAAIQA9&#10;Guc82wAAAAYBAAAPAAAAAAAAAAAAAAAAAG0EAABkcnMvZG93bnJldi54bWxQSwUGAAAAAAQABADz&#10;AAAAdQUAAAAA&#10;" strokeweight="2.25pt"/>
            </w:pict>
          </mc:Fallback>
        </mc:AlternateContent>
      </w:r>
    </w:p>
    <w:p w:rsidR="008B7ACC" w:rsidRPr="009D67E3" w:rsidRDefault="0098012D" w:rsidP="009D67E3">
      <w:pPr>
        <w:spacing w:afterLines="100" w:after="360" w:line="52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28"/>
        </w:rPr>
        <w:t>行政執行</w:t>
      </w:r>
      <w:r>
        <w:rPr>
          <w:rFonts w:eastAsia="標楷體" w:hint="eastAsia"/>
          <w:b/>
          <w:sz w:val="32"/>
          <w:szCs w:val="28"/>
        </w:rPr>
        <w:t>17</w:t>
      </w:r>
      <w:r>
        <w:rPr>
          <w:rFonts w:eastAsia="標楷體" w:hint="eastAsia"/>
          <w:b/>
          <w:sz w:val="32"/>
          <w:szCs w:val="28"/>
        </w:rPr>
        <w:t>年</w:t>
      </w:r>
      <w:r w:rsidR="00EA1278">
        <w:rPr>
          <w:rFonts w:eastAsia="標楷體"/>
          <w:b/>
          <w:sz w:val="32"/>
          <w:szCs w:val="28"/>
        </w:rPr>
        <w:t>，</w:t>
      </w:r>
      <w:r>
        <w:rPr>
          <w:rFonts w:eastAsia="標楷體" w:hint="eastAsia"/>
          <w:b/>
          <w:sz w:val="32"/>
          <w:szCs w:val="28"/>
        </w:rPr>
        <w:t>績效突破</w:t>
      </w:r>
      <w:r>
        <w:rPr>
          <w:rFonts w:eastAsia="標楷體"/>
          <w:b/>
          <w:sz w:val="32"/>
          <w:szCs w:val="28"/>
        </w:rPr>
        <w:t>5000</w:t>
      </w:r>
      <w:r w:rsidR="002008F8">
        <w:rPr>
          <w:rFonts w:eastAsia="標楷體" w:hint="eastAsia"/>
          <w:b/>
          <w:sz w:val="32"/>
          <w:szCs w:val="28"/>
        </w:rPr>
        <w:t>億元</w:t>
      </w:r>
    </w:p>
    <w:p w:rsidR="00F834A4" w:rsidRDefault="00EE1CCC" w:rsidP="00A70F06">
      <w:pPr>
        <w:spacing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Pr="00EE1CCC">
        <w:rPr>
          <w:rFonts w:ascii="標楷體" w:eastAsia="標楷體" w:hAnsi="標楷體" w:hint="eastAsia"/>
          <w:sz w:val="28"/>
          <w:szCs w:val="28"/>
        </w:rPr>
        <w:t>部行政執行署（89年成立）所屬各執行分署自90年起陸續成立，為公法上金錢給付義務執行的專責機關，</w:t>
      </w:r>
      <w:r w:rsidR="005D624C">
        <w:rPr>
          <w:rFonts w:ascii="標楷體" w:eastAsia="標楷體" w:hAnsi="標楷體" w:hint="eastAsia"/>
          <w:sz w:val="28"/>
          <w:szCs w:val="28"/>
        </w:rPr>
        <w:t>迄今已滿</w:t>
      </w:r>
      <w:r w:rsidRPr="00EE1CCC">
        <w:rPr>
          <w:rFonts w:ascii="標楷體" w:eastAsia="標楷體" w:hAnsi="標楷體" w:hint="eastAsia"/>
          <w:sz w:val="28"/>
          <w:szCs w:val="28"/>
        </w:rPr>
        <w:t>17年，執行績效</w:t>
      </w:r>
      <w:r w:rsidR="00F41027">
        <w:rPr>
          <w:rFonts w:ascii="標楷體" w:eastAsia="標楷體" w:hAnsi="標楷體" w:hint="eastAsia"/>
          <w:sz w:val="28"/>
          <w:szCs w:val="28"/>
        </w:rPr>
        <w:t>屢</w:t>
      </w:r>
      <w:r w:rsidRPr="00EE1CCC">
        <w:rPr>
          <w:rFonts w:ascii="標楷體" w:eastAsia="標楷體" w:hAnsi="標楷體" w:hint="eastAsia"/>
          <w:sz w:val="28"/>
          <w:szCs w:val="28"/>
        </w:rPr>
        <w:t>創新高，</w:t>
      </w:r>
      <w:r>
        <w:rPr>
          <w:rFonts w:ascii="標楷體" w:eastAsia="標楷體" w:hAnsi="標楷體" w:hint="eastAsia"/>
          <w:sz w:val="28"/>
          <w:szCs w:val="28"/>
        </w:rPr>
        <w:t>更</w:t>
      </w:r>
      <w:r w:rsidRPr="00EE1CCC">
        <w:rPr>
          <w:rFonts w:ascii="標楷體" w:eastAsia="標楷體" w:hAnsi="標楷體" w:hint="eastAsia"/>
          <w:sz w:val="28"/>
          <w:szCs w:val="28"/>
        </w:rPr>
        <w:t>在</w:t>
      </w:r>
      <w:r>
        <w:rPr>
          <w:rFonts w:ascii="標楷體" w:eastAsia="標楷體" w:hAnsi="標楷體" w:hint="eastAsia"/>
          <w:sz w:val="28"/>
          <w:szCs w:val="28"/>
        </w:rPr>
        <w:t>去（</w:t>
      </w:r>
      <w:r w:rsidRPr="00EE1CCC">
        <w:rPr>
          <w:rFonts w:ascii="標楷體" w:eastAsia="標楷體" w:hAnsi="標楷體" w:hint="eastAsia"/>
          <w:sz w:val="28"/>
          <w:szCs w:val="28"/>
        </w:rPr>
        <w:t>106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EE1CCC">
        <w:rPr>
          <w:rFonts w:ascii="標楷體" w:eastAsia="標楷體" w:hAnsi="標楷體" w:hint="eastAsia"/>
          <w:sz w:val="28"/>
          <w:szCs w:val="28"/>
        </w:rPr>
        <w:t>年12月5日，徵起金額突破5,000億元，換算下來，約可</w:t>
      </w:r>
      <w:r>
        <w:rPr>
          <w:rFonts w:ascii="標楷體" w:eastAsia="標楷體" w:hAnsi="標楷體" w:hint="eastAsia"/>
          <w:sz w:val="28"/>
          <w:szCs w:val="28"/>
        </w:rPr>
        <w:t>再</w:t>
      </w:r>
      <w:r w:rsidRPr="00EE1CCC">
        <w:rPr>
          <w:rFonts w:ascii="標楷體" w:eastAsia="標楷體" w:hAnsi="標楷體" w:hint="eastAsia"/>
          <w:sz w:val="28"/>
          <w:szCs w:val="28"/>
        </w:rPr>
        <w:t>蓋8座臺北</w:t>
      </w:r>
      <w:r w:rsidRPr="00EE1CCC">
        <w:rPr>
          <w:rFonts w:ascii="標楷體" w:eastAsia="標楷體" w:hAnsi="標楷體"/>
          <w:sz w:val="28"/>
          <w:szCs w:val="28"/>
        </w:rPr>
        <w:t>101</w:t>
      </w:r>
      <w:r w:rsidRPr="00EE1CCC">
        <w:rPr>
          <w:rFonts w:ascii="標楷體" w:eastAsia="標楷體" w:hAnsi="標楷體" w:hint="eastAsia"/>
          <w:sz w:val="28"/>
          <w:szCs w:val="28"/>
        </w:rPr>
        <w:t>大樓，或10</w:t>
      </w:r>
      <w:r>
        <w:rPr>
          <w:rFonts w:ascii="標楷體" w:eastAsia="標楷體" w:hAnsi="標楷體"/>
          <w:sz w:val="28"/>
          <w:szCs w:val="28"/>
        </w:rPr>
        <w:t>4</w:t>
      </w:r>
      <w:r w:rsidRPr="00EE1CCC">
        <w:rPr>
          <w:rFonts w:ascii="標楷體" w:eastAsia="標楷體" w:hAnsi="標楷體" w:hint="eastAsia"/>
          <w:sz w:val="28"/>
          <w:szCs w:val="28"/>
        </w:rPr>
        <w:t>座小巨蛋；</w:t>
      </w:r>
      <w:r w:rsidR="004A70D5">
        <w:rPr>
          <w:rFonts w:ascii="標楷體" w:eastAsia="標楷體" w:hAnsi="標楷體" w:hint="eastAsia"/>
          <w:sz w:val="28"/>
          <w:szCs w:val="28"/>
        </w:rPr>
        <w:t>並</w:t>
      </w:r>
      <w:r w:rsidR="00A7035A">
        <w:rPr>
          <w:rFonts w:ascii="標楷體" w:eastAsia="標楷體" w:hAnsi="標楷體" w:hint="eastAsia"/>
          <w:sz w:val="28"/>
          <w:szCs w:val="28"/>
        </w:rPr>
        <w:t>超過本部17年法定預算總數</w:t>
      </w:r>
      <w:r w:rsidR="004A70D5">
        <w:rPr>
          <w:rFonts w:ascii="標楷體" w:eastAsia="標楷體" w:hAnsi="標楷體" w:hint="eastAsia"/>
          <w:sz w:val="28"/>
          <w:szCs w:val="28"/>
        </w:rPr>
        <w:t>（</w:t>
      </w:r>
      <w:r w:rsidR="004A70D5" w:rsidRPr="004A70D5">
        <w:rPr>
          <w:rFonts w:ascii="標楷體" w:eastAsia="標楷體" w:hAnsi="標楷體" w:hint="eastAsia"/>
          <w:bCs/>
          <w:sz w:val="28"/>
          <w:szCs w:val="28"/>
        </w:rPr>
        <w:t>4,536億5,314萬元</w:t>
      </w:r>
      <w:r w:rsidR="004A70D5" w:rsidRPr="004A70D5">
        <w:rPr>
          <w:rFonts w:ascii="標楷體" w:eastAsia="標楷體" w:hAnsi="標楷體" w:hint="eastAsia"/>
          <w:sz w:val="28"/>
          <w:szCs w:val="28"/>
        </w:rPr>
        <w:t>）</w:t>
      </w:r>
      <w:r w:rsidR="004A70D5">
        <w:rPr>
          <w:rFonts w:ascii="標楷體" w:eastAsia="標楷體" w:hAnsi="標楷體" w:hint="eastAsia"/>
          <w:sz w:val="28"/>
          <w:szCs w:val="28"/>
        </w:rPr>
        <w:t>，換言之，</w:t>
      </w:r>
      <w:r w:rsidR="004A70D5" w:rsidRPr="004A70D5">
        <w:rPr>
          <w:rFonts w:ascii="標楷體" w:eastAsia="標楷體" w:hAnsi="標楷體" w:hint="eastAsia"/>
          <w:sz w:val="28"/>
          <w:szCs w:val="28"/>
        </w:rPr>
        <w:t>行政執行署</w:t>
      </w:r>
      <w:r w:rsidR="00A7035A">
        <w:rPr>
          <w:rFonts w:ascii="標楷體" w:eastAsia="標楷體" w:hAnsi="標楷體" w:hint="eastAsia"/>
          <w:sz w:val="28"/>
          <w:szCs w:val="28"/>
        </w:rPr>
        <w:t>平均每年徵起約300億元</w:t>
      </w:r>
      <w:r w:rsidR="004A70D5">
        <w:rPr>
          <w:rFonts w:ascii="標楷體" w:eastAsia="標楷體" w:hAnsi="標楷體" w:hint="eastAsia"/>
          <w:sz w:val="28"/>
          <w:szCs w:val="28"/>
        </w:rPr>
        <w:t>之成效</w:t>
      </w:r>
      <w:r w:rsidR="00A7035A">
        <w:rPr>
          <w:rFonts w:ascii="標楷體" w:eastAsia="標楷體" w:hAnsi="標楷體" w:hint="eastAsia"/>
          <w:sz w:val="28"/>
          <w:szCs w:val="28"/>
        </w:rPr>
        <w:t>，足以支應本部一整年的預算</w:t>
      </w:r>
      <w:r w:rsidRPr="00EE1CCC">
        <w:rPr>
          <w:rFonts w:ascii="標楷體" w:eastAsia="標楷體" w:hAnsi="標楷體" w:hint="eastAsia"/>
          <w:sz w:val="28"/>
          <w:szCs w:val="28"/>
        </w:rPr>
        <w:t>，對於挹注國庫收入有極大的助益</w:t>
      </w:r>
      <w:r w:rsidR="00733657">
        <w:rPr>
          <w:rFonts w:ascii="標楷體" w:eastAsia="標楷體" w:hAnsi="標楷體" w:hint="eastAsia"/>
          <w:sz w:val="28"/>
          <w:szCs w:val="28"/>
        </w:rPr>
        <w:t>。</w:t>
      </w:r>
    </w:p>
    <w:p w:rsidR="00EC5F47" w:rsidRDefault="00775FB2" w:rsidP="00A70F06">
      <w:pPr>
        <w:spacing w:beforeLines="50" w:before="180"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EE1CCC">
        <w:rPr>
          <w:rFonts w:ascii="標楷體" w:eastAsia="標楷體" w:hAnsi="標楷體" w:hint="eastAsia"/>
          <w:sz w:val="28"/>
          <w:szCs w:val="28"/>
        </w:rPr>
        <w:t>公義與關懷</w:t>
      </w:r>
      <w:r>
        <w:rPr>
          <w:rFonts w:ascii="標楷體" w:eastAsia="標楷體" w:hAnsi="標楷體" w:hint="eastAsia"/>
          <w:sz w:val="28"/>
          <w:szCs w:val="28"/>
        </w:rPr>
        <w:t>是本部施政</w:t>
      </w:r>
      <w:r w:rsidRPr="00830C86">
        <w:rPr>
          <w:rFonts w:ascii="標楷體" w:eastAsia="標楷體" w:hAnsi="標楷體" w:hint="eastAsia"/>
          <w:sz w:val="28"/>
          <w:szCs w:val="28"/>
        </w:rPr>
        <w:t>的兩大主軸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EE1CCC" w:rsidRPr="00EE1CCC">
        <w:rPr>
          <w:rFonts w:ascii="標楷體" w:eastAsia="標楷體" w:hAnsi="標楷體" w:hint="eastAsia"/>
          <w:sz w:val="28"/>
          <w:szCs w:val="28"/>
        </w:rPr>
        <w:t>行政執行署就拒繳或蓄意脫產之義務人，善用查封、拍賣、限制出境、向法院聲請拘提、管收等手段，依法強力積極執行，以貫徹公權力，維護社會公義；同時不忘關注執行過程中所接觸社會角落裏的弱勢義務人，採取寬緩的執行策略，給予其喘息的機會，並進一步轉介到政府社福單位或民間公益團體</w:t>
      </w:r>
      <w:r w:rsidR="008C30B7">
        <w:rPr>
          <w:rFonts w:ascii="標楷體" w:eastAsia="標楷體" w:hAnsi="標楷體" w:hint="eastAsia"/>
          <w:sz w:val="28"/>
          <w:szCs w:val="28"/>
        </w:rPr>
        <w:t>，</w:t>
      </w:r>
      <w:r w:rsidR="00EE1CCC" w:rsidRPr="00EE1CCC">
        <w:rPr>
          <w:rFonts w:ascii="標楷體" w:eastAsia="標楷體" w:hAnsi="標楷體" w:hint="eastAsia"/>
          <w:sz w:val="28"/>
          <w:szCs w:val="28"/>
        </w:rPr>
        <w:t>協助弱勢義務人脫困</w:t>
      </w:r>
      <w:r w:rsidR="00EC5F47" w:rsidRPr="00EC5F47">
        <w:rPr>
          <w:rFonts w:ascii="標楷體" w:eastAsia="標楷體" w:hAnsi="標楷體"/>
          <w:sz w:val="28"/>
          <w:szCs w:val="28"/>
        </w:rPr>
        <w:t>。</w:t>
      </w:r>
    </w:p>
    <w:p w:rsidR="005D4D12" w:rsidRDefault="005D4D12" w:rsidP="00A70F06">
      <w:pPr>
        <w:spacing w:beforeLines="50" w:before="180" w:line="480" w:lineRule="exact"/>
        <w:ind w:firstLineChars="200" w:firstLine="56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5D4D12">
        <w:rPr>
          <w:rFonts w:ascii="標楷體" w:eastAsia="標楷體" w:hAnsi="標楷體" w:hint="eastAsia"/>
          <w:sz w:val="28"/>
          <w:szCs w:val="28"/>
        </w:rPr>
        <w:t>近年來</w:t>
      </w:r>
      <w:r w:rsidR="005D624C">
        <w:rPr>
          <w:rFonts w:ascii="標楷體" w:eastAsia="標楷體" w:hAnsi="標楷體" w:hint="eastAsia"/>
          <w:sz w:val="28"/>
          <w:szCs w:val="28"/>
        </w:rPr>
        <w:t>行政執行</w:t>
      </w:r>
      <w:r w:rsidRPr="005D4D12">
        <w:rPr>
          <w:rFonts w:ascii="標楷體" w:eastAsia="標楷體" w:hAnsi="標楷體" w:hint="eastAsia"/>
          <w:sz w:val="28"/>
          <w:szCs w:val="28"/>
        </w:rPr>
        <w:t>案件</w:t>
      </w:r>
      <w:r w:rsidR="008C30B7">
        <w:rPr>
          <w:rFonts w:ascii="標楷體" w:eastAsia="標楷體" w:hAnsi="標楷體" w:hint="eastAsia"/>
          <w:sz w:val="28"/>
          <w:szCs w:val="28"/>
        </w:rPr>
        <w:t>的</w:t>
      </w:r>
      <w:r w:rsidRPr="005D4D12">
        <w:rPr>
          <w:rFonts w:ascii="標楷體" w:eastAsia="標楷體" w:hAnsi="標楷體" w:hint="eastAsia"/>
          <w:sz w:val="28"/>
          <w:szCs w:val="28"/>
        </w:rPr>
        <w:t>類型</w:t>
      </w:r>
      <w:r w:rsidR="00E05D9A">
        <w:rPr>
          <w:rFonts w:ascii="標楷體" w:eastAsia="標楷體" w:hAnsi="標楷體" w:hint="eastAsia"/>
          <w:sz w:val="28"/>
          <w:szCs w:val="28"/>
        </w:rPr>
        <w:t>及</w:t>
      </w:r>
      <w:r w:rsidRPr="005D4D12">
        <w:rPr>
          <w:rFonts w:ascii="標楷體" w:eastAsia="標楷體" w:hAnsi="標楷體" w:hint="eastAsia"/>
          <w:sz w:val="28"/>
          <w:szCs w:val="28"/>
        </w:rPr>
        <w:t>數量</w:t>
      </w:r>
      <w:r w:rsidR="005D624C">
        <w:rPr>
          <w:rFonts w:ascii="標楷體" w:eastAsia="標楷體" w:hAnsi="標楷體" w:hint="eastAsia"/>
          <w:sz w:val="28"/>
          <w:szCs w:val="28"/>
        </w:rPr>
        <w:t>產生巨大的</w:t>
      </w:r>
      <w:r w:rsidRPr="005D4D12">
        <w:rPr>
          <w:rFonts w:ascii="標楷體" w:eastAsia="標楷體" w:hAnsi="標楷體" w:hint="eastAsia"/>
          <w:sz w:val="28"/>
          <w:szCs w:val="28"/>
        </w:rPr>
        <w:t>變化</w:t>
      </w:r>
      <w:r w:rsidR="005D624C">
        <w:rPr>
          <w:rFonts w:ascii="標楷體" w:eastAsia="標楷體" w:hAnsi="標楷體" w:hint="eastAsia"/>
          <w:sz w:val="28"/>
          <w:szCs w:val="28"/>
        </w:rPr>
        <w:t>，特別是小額的罰鍰、欠費案件幾乎以每年百萬件的速度激增</w:t>
      </w:r>
      <w:r w:rsidRPr="005D4D12">
        <w:rPr>
          <w:rFonts w:ascii="標楷體" w:eastAsia="標楷體" w:hAnsi="標楷體" w:hint="eastAsia"/>
          <w:sz w:val="28"/>
          <w:szCs w:val="28"/>
        </w:rPr>
        <w:t>，</w:t>
      </w:r>
      <w:r w:rsidR="005D624C">
        <w:rPr>
          <w:rFonts w:ascii="標楷體" w:eastAsia="標楷體" w:hAnsi="標楷體" w:hint="eastAsia"/>
          <w:sz w:val="28"/>
          <w:szCs w:val="28"/>
        </w:rPr>
        <w:t>對此，</w:t>
      </w:r>
      <w:r w:rsidR="00EE1CCC" w:rsidRPr="00EE1CCC">
        <w:rPr>
          <w:rFonts w:ascii="標楷體" w:eastAsia="標楷體" w:hAnsi="標楷體" w:hint="eastAsia"/>
          <w:sz w:val="28"/>
          <w:szCs w:val="28"/>
        </w:rPr>
        <w:t>行政執行署</w:t>
      </w:r>
      <w:r w:rsidR="00CD7B31">
        <w:rPr>
          <w:rFonts w:ascii="標楷體" w:eastAsia="標楷體" w:hAnsi="標楷體" w:hint="eastAsia"/>
          <w:sz w:val="28"/>
          <w:szCs w:val="28"/>
        </w:rPr>
        <w:t>實施</w:t>
      </w:r>
      <w:r w:rsidR="00DD14A9">
        <w:rPr>
          <w:rFonts w:ascii="標楷體" w:eastAsia="標楷體" w:hAnsi="標楷體" w:hint="eastAsia"/>
          <w:sz w:val="28"/>
          <w:szCs w:val="28"/>
        </w:rPr>
        <w:t>許</w:t>
      </w:r>
      <w:r w:rsidR="00DD14A9" w:rsidRPr="005D624C">
        <w:rPr>
          <w:rFonts w:ascii="標楷體" w:eastAsia="標楷體" w:hAnsi="標楷體" w:hint="eastAsia"/>
          <w:sz w:val="28"/>
          <w:szCs w:val="28"/>
        </w:rPr>
        <w:t>多</w:t>
      </w:r>
      <w:r w:rsidR="00DD14A9" w:rsidRPr="005D624C">
        <w:rPr>
          <w:rFonts w:ascii="標楷體" w:eastAsia="標楷體" w:hAnsi="標楷體" w:hint="eastAsia"/>
          <w:bCs/>
          <w:sz w:val="28"/>
          <w:szCs w:val="28"/>
        </w:rPr>
        <w:t>變革與創新</w:t>
      </w:r>
      <w:r w:rsidR="005D624C" w:rsidRPr="005D624C">
        <w:rPr>
          <w:rFonts w:ascii="標楷體" w:eastAsia="標楷體" w:hAnsi="標楷體" w:hint="eastAsia"/>
          <w:bCs/>
          <w:sz w:val="28"/>
          <w:szCs w:val="28"/>
        </w:rPr>
        <w:t>的因應</w:t>
      </w:r>
      <w:r w:rsidR="00DD14A9" w:rsidRPr="005D624C">
        <w:rPr>
          <w:rFonts w:ascii="標楷體" w:eastAsia="標楷體" w:hAnsi="標楷體" w:hint="eastAsia"/>
          <w:bCs/>
          <w:sz w:val="28"/>
          <w:szCs w:val="28"/>
        </w:rPr>
        <w:t>作為，例如首創「123全國聯合拍賣日」，透過聯合拍賣的造勢與宣傳，吸引媒體之關注及報導</w:t>
      </w:r>
      <w:r w:rsidR="00DD14A9" w:rsidRPr="005D624C">
        <w:rPr>
          <w:rFonts w:ascii="標楷體" w:eastAsia="標楷體" w:hAnsi="標楷體"/>
          <w:bCs/>
          <w:sz w:val="28"/>
          <w:szCs w:val="28"/>
        </w:rPr>
        <w:t>，</w:t>
      </w:r>
      <w:r w:rsidR="00DD14A9" w:rsidRPr="005D624C">
        <w:rPr>
          <w:rFonts w:ascii="標楷體" w:eastAsia="標楷體" w:hAnsi="標楷體" w:hint="eastAsia"/>
          <w:bCs/>
          <w:sz w:val="28"/>
          <w:szCs w:val="28"/>
        </w:rPr>
        <w:t>達到匯集人氣與買氣的效果；推動「批次查詢義務人存款餘額」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，</w:t>
      </w:r>
      <w:r w:rsidR="00DD14A9" w:rsidRPr="005D624C">
        <w:rPr>
          <w:rFonts w:ascii="標楷體" w:eastAsia="標楷體" w:hAnsi="標楷體" w:hint="eastAsia"/>
          <w:bCs/>
          <w:sz w:val="28"/>
          <w:szCs w:val="28"/>
        </w:rPr>
        <w:t>深化案件之執行，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一年</w:t>
      </w:r>
      <w:r w:rsidR="00A7035A">
        <w:rPr>
          <w:rFonts w:ascii="標楷體" w:eastAsia="標楷體" w:hAnsi="標楷體" w:hint="eastAsia"/>
          <w:bCs/>
          <w:sz w:val="28"/>
          <w:szCs w:val="28"/>
        </w:rPr>
        <w:t>來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為國庫額外徵起10億2,729萬元；推動「各分署代收款專戶發（還）案款引進金融EDI電子轉帳作業」，讓各分署對於代收之案款，能以更有效率、</w:t>
      </w:r>
      <w:r w:rsidRPr="005D624C">
        <w:rPr>
          <w:rFonts w:ascii="標楷體" w:eastAsia="標楷體" w:hAnsi="標楷體" w:hint="eastAsia"/>
          <w:bCs/>
          <w:sz w:val="28"/>
          <w:szCs w:val="28"/>
        </w:rPr>
        <w:lastRenderedPageBreak/>
        <w:t>安全、省紙、省郵的方式解款予移送機關；同時規劃導入收取命令以媒體交換自動轉帳機制（</w:t>
      </w:r>
      <w:r w:rsidRPr="005D624C">
        <w:rPr>
          <w:rFonts w:ascii="標楷體" w:eastAsia="標楷體" w:hAnsi="標楷體"/>
          <w:bCs/>
          <w:sz w:val="28"/>
          <w:szCs w:val="28"/>
        </w:rPr>
        <w:t>ACH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，</w:t>
      </w:r>
      <w:r w:rsidRPr="005D624C">
        <w:rPr>
          <w:rFonts w:ascii="標楷體" w:eastAsia="標楷體" w:hAnsi="標楷體"/>
          <w:bCs/>
          <w:sz w:val="28"/>
          <w:szCs w:val="28"/>
        </w:rPr>
        <w:t>Automatic Clearing House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），從扣押、收取到解繳款項，以電子化方式進行，</w:t>
      </w:r>
      <w:r w:rsidR="008C30B7">
        <w:rPr>
          <w:rFonts w:ascii="標楷體" w:eastAsia="標楷體" w:hAnsi="標楷體" w:hint="eastAsia"/>
          <w:bCs/>
          <w:sz w:val="28"/>
          <w:szCs w:val="28"/>
        </w:rPr>
        <w:t>以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提升</w:t>
      </w:r>
      <w:r w:rsidR="00782FB6">
        <w:rPr>
          <w:rFonts w:ascii="標楷體" w:eastAsia="標楷體" w:hAnsi="標楷體" w:hint="eastAsia"/>
          <w:bCs/>
          <w:sz w:val="28"/>
          <w:szCs w:val="28"/>
        </w:rPr>
        <w:t>行政效能及</w:t>
      </w:r>
      <w:r w:rsidRPr="005D624C">
        <w:rPr>
          <w:rFonts w:ascii="標楷體" w:eastAsia="標楷體" w:hAnsi="標楷體" w:hint="eastAsia"/>
          <w:bCs/>
          <w:sz w:val="28"/>
          <w:szCs w:val="28"/>
        </w:rPr>
        <w:t>執行效率。</w:t>
      </w:r>
    </w:p>
    <w:p w:rsidR="00A70F06" w:rsidRDefault="005D624C" w:rsidP="00A70F06">
      <w:pPr>
        <w:spacing w:beforeLines="50" w:before="180"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另外，</w:t>
      </w:r>
      <w:r w:rsidR="00EE1CCC" w:rsidRPr="00EE1CCC">
        <w:rPr>
          <w:rFonts w:ascii="標楷體" w:eastAsia="標楷體" w:hAnsi="標楷體" w:hint="eastAsia"/>
          <w:sz w:val="28"/>
          <w:szCs w:val="28"/>
        </w:rPr>
        <w:t>針對各種特定類型之執行案件，</w:t>
      </w:r>
      <w:r w:rsidR="008C30B7">
        <w:rPr>
          <w:rFonts w:ascii="標楷體" w:eastAsia="標楷體" w:hAnsi="標楷體" w:hint="eastAsia"/>
          <w:sz w:val="28"/>
          <w:szCs w:val="28"/>
        </w:rPr>
        <w:t>推動</w:t>
      </w:r>
      <w:r w:rsidR="00EE1CCC" w:rsidRPr="00EE1CCC">
        <w:rPr>
          <w:rFonts w:ascii="標楷體" w:eastAsia="標楷體" w:hAnsi="標楷體" w:hint="eastAsia"/>
          <w:sz w:val="28"/>
          <w:szCs w:val="28"/>
        </w:rPr>
        <w:t>一波波專案同步執行，</w:t>
      </w:r>
      <w:r w:rsidR="00A7035A">
        <w:rPr>
          <w:rFonts w:ascii="標楷體" w:eastAsia="標楷體" w:hAnsi="標楷體" w:hint="eastAsia"/>
          <w:sz w:val="28"/>
          <w:szCs w:val="28"/>
        </w:rPr>
        <w:t>例如</w:t>
      </w:r>
      <w:r w:rsidR="00A7035A" w:rsidRPr="00EE1CCC">
        <w:rPr>
          <w:rFonts w:ascii="標楷體" w:eastAsia="標楷體" w:hAnsi="標楷體" w:hint="eastAsia"/>
          <w:sz w:val="28"/>
          <w:szCs w:val="28"/>
        </w:rPr>
        <w:t>強力執行「紅黃牌重型機車積欠</w:t>
      </w:r>
      <w:r w:rsidR="00A7035A" w:rsidRPr="00A7035A">
        <w:rPr>
          <w:rFonts w:ascii="標楷體" w:eastAsia="標楷體" w:hAnsi="標楷體" w:hint="eastAsia"/>
          <w:sz w:val="28"/>
          <w:szCs w:val="28"/>
        </w:rPr>
        <w:t>稅費案」、</w:t>
      </w:r>
      <w:r w:rsidR="00A7035A" w:rsidRPr="00EE1CCC">
        <w:rPr>
          <w:rFonts w:ascii="標楷體" w:eastAsia="標楷體" w:hAnsi="標楷體" w:hint="eastAsia"/>
          <w:sz w:val="28"/>
          <w:szCs w:val="28"/>
        </w:rPr>
        <w:t>「營業中人頭公司行號欠稅案件」</w:t>
      </w:r>
      <w:r w:rsidR="00A7035A" w:rsidRPr="00A7035A">
        <w:rPr>
          <w:rFonts w:ascii="標楷體" w:eastAsia="標楷體" w:hAnsi="標楷體" w:hint="eastAsia"/>
          <w:sz w:val="28"/>
          <w:szCs w:val="28"/>
        </w:rPr>
        <w:t>、</w:t>
      </w:r>
      <w:r w:rsidR="00A7035A" w:rsidRPr="00EE1CCC">
        <w:rPr>
          <w:rFonts w:ascii="標楷體" w:eastAsia="標楷體" w:hAnsi="標楷體" w:hint="eastAsia"/>
          <w:sz w:val="28"/>
          <w:szCs w:val="28"/>
        </w:rPr>
        <w:t>「第三、四級毒品罰鍰、怠金執行案件」</w:t>
      </w:r>
      <w:r w:rsidR="00A70F06">
        <w:rPr>
          <w:rFonts w:ascii="標楷體" w:eastAsia="標楷體" w:hAnsi="標楷體" w:hint="eastAsia"/>
          <w:sz w:val="28"/>
          <w:szCs w:val="28"/>
        </w:rPr>
        <w:t>（</w:t>
      </w:r>
      <w:r w:rsidR="00A70F06" w:rsidRPr="00EE1CCC">
        <w:rPr>
          <w:rFonts w:ascii="標楷體" w:eastAsia="標楷體" w:hAnsi="標楷體" w:hint="eastAsia"/>
          <w:sz w:val="28"/>
          <w:szCs w:val="28"/>
        </w:rPr>
        <w:t>三波</w:t>
      </w:r>
      <w:r w:rsidR="00A70F06">
        <w:rPr>
          <w:rFonts w:ascii="標楷體" w:eastAsia="標楷體" w:hAnsi="標楷體" w:hint="eastAsia"/>
          <w:sz w:val="28"/>
          <w:szCs w:val="28"/>
        </w:rPr>
        <w:t>）</w:t>
      </w:r>
      <w:r w:rsidR="00A7035A" w:rsidRPr="00A7035A">
        <w:rPr>
          <w:rFonts w:ascii="標楷體" w:eastAsia="標楷體" w:hAnsi="標楷體" w:hint="eastAsia"/>
          <w:sz w:val="28"/>
          <w:szCs w:val="28"/>
        </w:rPr>
        <w:t>、</w:t>
      </w:r>
      <w:r w:rsidR="00A70F06">
        <w:rPr>
          <w:rFonts w:ascii="標楷體" w:eastAsia="標楷體" w:hAnsi="標楷體" w:hint="eastAsia"/>
          <w:sz w:val="28"/>
          <w:szCs w:val="28"/>
        </w:rPr>
        <w:t>滯納</w:t>
      </w:r>
      <w:r w:rsidR="00A70F06" w:rsidRPr="00EE1CCC">
        <w:rPr>
          <w:rFonts w:ascii="標楷體" w:eastAsia="標楷體" w:hAnsi="標楷體" w:hint="eastAsia"/>
          <w:sz w:val="28"/>
          <w:szCs w:val="28"/>
        </w:rPr>
        <w:t>停車費</w:t>
      </w:r>
      <w:r w:rsidR="00A70F06" w:rsidRPr="00A7035A">
        <w:rPr>
          <w:rFonts w:ascii="標楷體" w:eastAsia="標楷體" w:hAnsi="標楷體" w:hint="eastAsia"/>
          <w:sz w:val="28"/>
          <w:szCs w:val="28"/>
        </w:rPr>
        <w:t>、</w:t>
      </w:r>
      <w:r w:rsidR="00A70F06" w:rsidRPr="00EE1CCC">
        <w:rPr>
          <w:rFonts w:ascii="標楷體" w:eastAsia="標楷體" w:hAnsi="標楷體" w:hint="eastAsia"/>
          <w:sz w:val="28"/>
          <w:szCs w:val="28"/>
        </w:rPr>
        <w:t>國道高速公路通行費</w:t>
      </w:r>
      <w:r w:rsidR="00603504">
        <w:rPr>
          <w:rFonts w:ascii="標楷體" w:eastAsia="標楷體" w:hAnsi="標楷體" w:hint="eastAsia"/>
          <w:sz w:val="28"/>
          <w:szCs w:val="28"/>
        </w:rPr>
        <w:t>（ETC）</w:t>
      </w:r>
      <w:r w:rsidR="00A7035A" w:rsidRPr="00A7035A">
        <w:rPr>
          <w:rFonts w:ascii="標楷體" w:eastAsia="標楷體" w:hAnsi="標楷體" w:hint="eastAsia"/>
          <w:sz w:val="28"/>
          <w:szCs w:val="28"/>
        </w:rPr>
        <w:t>、</w:t>
      </w:r>
      <w:r w:rsidR="00A70F06">
        <w:rPr>
          <w:rFonts w:ascii="標楷體" w:eastAsia="標楷體" w:hAnsi="標楷體" w:hint="eastAsia"/>
          <w:sz w:val="28"/>
          <w:szCs w:val="28"/>
        </w:rPr>
        <w:t>汽機車燃料使用費等，</w:t>
      </w:r>
      <w:r w:rsidR="00A70F06" w:rsidRPr="00EE1CCC">
        <w:rPr>
          <w:rFonts w:ascii="標楷體" w:eastAsia="標楷體" w:hAnsi="標楷體" w:hint="eastAsia"/>
          <w:sz w:val="28"/>
          <w:szCs w:val="28"/>
        </w:rPr>
        <w:t>除擴大執行成效外，</w:t>
      </w:r>
      <w:r w:rsidR="00A70F06">
        <w:rPr>
          <w:rFonts w:ascii="標楷體" w:eastAsia="標楷體" w:hAnsi="標楷體" w:hint="eastAsia"/>
          <w:sz w:val="28"/>
          <w:szCs w:val="28"/>
        </w:rPr>
        <w:t>亦可</w:t>
      </w:r>
      <w:r w:rsidR="00A70F06" w:rsidRPr="00EE1CCC">
        <w:rPr>
          <w:rFonts w:ascii="標楷體" w:eastAsia="標楷體" w:hAnsi="標楷體" w:hint="eastAsia"/>
          <w:sz w:val="28"/>
          <w:szCs w:val="28"/>
        </w:rPr>
        <w:t>杜絕部分民眾所抱持的投機心態</w:t>
      </w:r>
      <w:r w:rsidR="00A70F06">
        <w:rPr>
          <w:rFonts w:ascii="標楷體" w:eastAsia="標楷體" w:hAnsi="標楷體" w:hint="eastAsia"/>
          <w:sz w:val="28"/>
          <w:szCs w:val="28"/>
        </w:rPr>
        <w:t>，維護社會公共秩序。</w:t>
      </w:r>
    </w:p>
    <w:p w:rsidR="00BF04FF" w:rsidRDefault="00BF04FF" w:rsidP="00781AED">
      <w:pPr>
        <w:spacing w:beforeLines="50" w:before="180"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公法上金錢給付義務案件的執行，除可彰</w:t>
      </w:r>
      <w:r w:rsidRPr="00BF04FF">
        <w:rPr>
          <w:rFonts w:ascii="標楷體" w:eastAsia="標楷體" w:hAnsi="標楷體" w:hint="eastAsia"/>
          <w:sz w:val="28"/>
          <w:szCs w:val="28"/>
        </w:rPr>
        <w:t>顯公權力、豐盈國庫外，</w:t>
      </w:r>
      <w:r>
        <w:rPr>
          <w:rFonts w:ascii="標楷體" w:eastAsia="標楷體" w:hAnsi="標楷體" w:hint="eastAsia"/>
          <w:sz w:val="28"/>
          <w:szCs w:val="28"/>
        </w:rPr>
        <w:t>更具有</w:t>
      </w:r>
      <w:r w:rsidRPr="00A70F06">
        <w:rPr>
          <w:rFonts w:ascii="標楷體" w:eastAsia="標楷體" w:hAnsi="標楷體" w:hint="eastAsia"/>
          <w:sz w:val="28"/>
          <w:szCs w:val="28"/>
        </w:rPr>
        <w:t>提高人民遵法意識的潛在效益，</w:t>
      </w:r>
      <w:r w:rsidR="008C30B7">
        <w:rPr>
          <w:rFonts w:ascii="標楷體" w:eastAsia="標楷體" w:hAnsi="標楷體" w:hint="eastAsia"/>
          <w:sz w:val="28"/>
          <w:szCs w:val="28"/>
        </w:rPr>
        <w:t>本部</w:t>
      </w:r>
      <w:r w:rsidRPr="00EE1CCC">
        <w:rPr>
          <w:rFonts w:ascii="標楷體" w:eastAsia="標楷體" w:hAnsi="標楷體" w:hint="eastAsia"/>
          <w:sz w:val="28"/>
          <w:szCs w:val="28"/>
          <w:lang w:val="x-none"/>
        </w:rPr>
        <w:t>行政執行署將繼續在良好的基礎上，持續堅守程序正義，落實公權力，兼顧對弱勢的關懷，</w:t>
      </w:r>
      <w:r w:rsidR="00BB4464">
        <w:rPr>
          <w:rFonts w:ascii="標楷體" w:eastAsia="標楷體" w:hAnsi="標楷體" w:hint="eastAsia"/>
          <w:sz w:val="28"/>
          <w:szCs w:val="28"/>
          <w:lang w:val="x-none"/>
        </w:rPr>
        <w:t>發揮</w:t>
      </w:r>
      <w:r w:rsidRPr="00EE1CCC">
        <w:rPr>
          <w:rFonts w:ascii="標楷體" w:eastAsia="標楷體" w:hAnsi="標楷體" w:hint="eastAsia"/>
          <w:sz w:val="28"/>
          <w:szCs w:val="28"/>
          <w:lang w:val="x-none"/>
        </w:rPr>
        <w:t>創意及活力，在國人面前展現新風貌</w:t>
      </w:r>
      <w:r>
        <w:rPr>
          <w:rFonts w:ascii="標楷體" w:eastAsia="標楷體" w:hAnsi="標楷體" w:hint="eastAsia"/>
          <w:sz w:val="28"/>
          <w:szCs w:val="28"/>
          <w:lang w:val="x-none"/>
        </w:rPr>
        <w:t>。</w:t>
      </w:r>
    </w:p>
    <w:sectPr w:rsidR="00BF04FF" w:rsidSect="00253316">
      <w:footerReference w:type="default" r:id="rId10"/>
      <w:pgSz w:w="11906" w:h="16838"/>
      <w:pgMar w:top="1021" w:right="1588" w:bottom="851" w:left="1588" w:header="851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B55" w:rsidRDefault="00772B55">
      <w:r>
        <w:separator/>
      </w:r>
    </w:p>
  </w:endnote>
  <w:endnote w:type="continuationSeparator" w:id="0">
    <w:p w:rsidR="00772B55" w:rsidRDefault="0077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62" w:rsidRDefault="003D4F62">
    <w:pPr>
      <w:pStyle w:val="a7"/>
      <w:jc w:val="right"/>
      <w:rPr>
        <w:noProof/>
      </w:rPr>
    </w:pPr>
  </w:p>
  <w:p w:rsidR="003D4F62" w:rsidRDefault="003D4F62">
    <w:pPr>
      <w:pStyle w:val="a7"/>
      <w:jc w:val="center"/>
    </w:pPr>
    <w:r>
      <w:rPr>
        <w:rFonts w:hint="eastAsia"/>
      </w:rPr>
      <w:t>第</w:t>
    </w:r>
    <w:r w:rsidR="00F3345C">
      <w:rPr>
        <w:rStyle w:val="a8"/>
      </w:rPr>
      <w:fldChar w:fldCharType="begin"/>
    </w:r>
    <w:r>
      <w:rPr>
        <w:rStyle w:val="a8"/>
      </w:rPr>
      <w:instrText xml:space="preserve"> PAGE </w:instrText>
    </w:r>
    <w:r w:rsidR="00F3345C">
      <w:rPr>
        <w:rStyle w:val="a8"/>
      </w:rPr>
      <w:fldChar w:fldCharType="separate"/>
    </w:r>
    <w:r w:rsidR="00AC3873">
      <w:rPr>
        <w:rStyle w:val="a8"/>
        <w:noProof/>
      </w:rPr>
      <w:t>2</w:t>
    </w:r>
    <w:r w:rsidR="00F3345C">
      <w:rPr>
        <w:rStyle w:val="a8"/>
      </w:rPr>
      <w:fldChar w:fldCharType="end"/>
    </w:r>
    <w:r>
      <w:rPr>
        <w:rStyle w:val="a8"/>
        <w:rFonts w:hint="eastAsia"/>
      </w:rPr>
      <w:t>頁，共</w:t>
    </w:r>
    <w:r w:rsidR="00F3345C">
      <w:rPr>
        <w:rStyle w:val="a8"/>
      </w:rPr>
      <w:fldChar w:fldCharType="begin"/>
    </w:r>
    <w:r>
      <w:rPr>
        <w:rStyle w:val="a8"/>
      </w:rPr>
      <w:instrText xml:space="preserve"> NUMPAGES </w:instrText>
    </w:r>
    <w:r w:rsidR="00F3345C">
      <w:rPr>
        <w:rStyle w:val="a8"/>
      </w:rPr>
      <w:fldChar w:fldCharType="separate"/>
    </w:r>
    <w:r w:rsidR="00AC3873">
      <w:rPr>
        <w:rStyle w:val="a8"/>
        <w:noProof/>
      </w:rPr>
      <w:t>2</w:t>
    </w:r>
    <w:r w:rsidR="00F3345C">
      <w:rPr>
        <w:rStyle w:val="a8"/>
      </w:rPr>
      <w:fldChar w:fldCharType="end"/>
    </w:r>
    <w:r>
      <w:rPr>
        <w:rStyle w:val="a8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B55" w:rsidRDefault="00772B55">
      <w:r>
        <w:separator/>
      </w:r>
    </w:p>
  </w:footnote>
  <w:footnote w:type="continuationSeparator" w:id="0">
    <w:p w:rsidR="00772B55" w:rsidRDefault="00772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29C"/>
    <w:multiLevelType w:val="hybridMultilevel"/>
    <w:tmpl w:val="DDAA5D0E"/>
    <w:lvl w:ilvl="0" w:tplc="FA7AD0B2">
      <w:start w:val="1"/>
      <w:numFmt w:val="taiwaneseCountingThousand"/>
      <w:lvlText w:val="%1、"/>
      <w:lvlJc w:val="left"/>
      <w:pPr>
        <w:tabs>
          <w:tab w:val="num" w:pos="691"/>
        </w:tabs>
        <w:ind w:left="691" w:hanging="72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1"/>
        </w:tabs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1"/>
        </w:tabs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1"/>
        </w:tabs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1"/>
        </w:tabs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1"/>
        </w:tabs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1"/>
        </w:tabs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1"/>
        </w:tabs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1"/>
        </w:tabs>
        <w:ind w:left="4291" w:hanging="480"/>
      </w:pPr>
    </w:lvl>
  </w:abstractNum>
  <w:abstractNum w:abstractNumId="1">
    <w:nsid w:val="123D740B"/>
    <w:multiLevelType w:val="hybridMultilevel"/>
    <w:tmpl w:val="2E40BEE6"/>
    <w:lvl w:ilvl="0" w:tplc="7D64E344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">
    <w:nsid w:val="3CF13602"/>
    <w:multiLevelType w:val="hybridMultilevel"/>
    <w:tmpl w:val="7076B7CE"/>
    <w:lvl w:ilvl="0" w:tplc="DC8C6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0CFA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5A90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4E92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7ED1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029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3A9B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164C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EAAF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0567E1D"/>
    <w:multiLevelType w:val="hybridMultilevel"/>
    <w:tmpl w:val="CBE0C500"/>
    <w:lvl w:ilvl="0" w:tplc="FC9CA21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B9B6E57"/>
    <w:multiLevelType w:val="hybridMultilevel"/>
    <w:tmpl w:val="87043DF0"/>
    <w:lvl w:ilvl="0" w:tplc="0CB49C3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7219717F"/>
    <w:multiLevelType w:val="hybridMultilevel"/>
    <w:tmpl w:val="8D3CAEC0"/>
    <w:lvl w:ilvl="0" w:tplc="4E1273BA">
      <w:start w:val="1"/>
      <w:numFmt w:val="taiwaneseCountingThousand"/>
      <w:lvlText w:val="（%1）"/>
      <w:lvlJc w:val="left"/>
      <w:pPr>
        <w:tabs>
          <w:tab w:val="num" w:pos="3395"/>
        </w:tabs>
        <w:ind w:left="3395" w:hanging="1395"/>
      </w:pPr>
      <w:rPr>
        <w:rFonts w:hint="default"/>
      </w:rPr>
    </w:lvl>
    <w:lvl w:ilvl="1" w:tplc="82069AEC">
      <w:start w:val="1"/>
      <w:numFmt w:val="decimalFullWidth"/>
      <w:lvlText w:val="（%2）"/>
      <w:lvlJc w:val="left"/>
      <w:pPr>
        <w:tabs>
          <w:tab w:val="num" w:pos="3305"/>
        </w:tabs>
        <w:ind w:left="3305" w:hanging="825"/>
      </w:pPr>
      <w:rPr>
        <w:rFonts w:ascii="Times New Roman" w:eastAsia="新細明體" w:hAnsi="Times New Roman" w:cs="Times New Roman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40"/>
        </w:tabs>
        <w:ind w:left="3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20"/>
        </w:tabs>
        <w:ind w:left="3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00"/>
        </w:tabs>
        <w:ind w:left="4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0"/>
        </w:tabs>
        <w:ind w:left="5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40"/>
        </w:tabs>
        <w:ind w:left="5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0"/>
        </w:tabs>
        <w:ind w:left="632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FEE"/>
    <w:rsid w:val="000007BF"/>
    <w:rsid w:val="00011356"/>
    <w:rsid w:val="00020CAD"/>
    <w:rsid w:val="00027374"/>
    <w:rsid w:val="000672D1"/>
    <w:rsid w:val="000740DC"/>
    <w:rsid w:val="00091809"/>
    <w:rsid w:val="000A2410"/>
    <w:rsid w:val="000C09C6"/>
    <w:rsid w:val="000C2056"/>
    <w:rsid w:val="000C59BB"/>
    <w:rsid w:val="000C7A97"/>
    <w:rsid w:val="000F1836"/>
    <w:rsid w:val="0010190C"/>
    <w:rsid w:val="00124183"/>
    <w:rsid w:val="00141B4B"/>
    <w:rsid w:val="00156D69"/>
    <w:rsid w:val="0016078C"/>
    <w:rsid w:val="001612E1"/>
    <w:rsid w:val="0017239B"/>
    <w:rsid w:val="00175425"/>
    <w:rsid w:val="00192276"/>
    <w:rsid w:val="001C70C3"/>
    <w:rsid w:val="001D0772"/>
    <w:rsid w:val="001D6B27"/>
    <w:rsid w:val="001D7A52"/>
    <w:rsid w:val="001F7082"/>
    <w:rsid w:val="002008F8"/>
    <w:rsid w:val="00207A29"/>
    <w:rsid w:val="0021116B"/>
    <w:rsid w:val="00224577"/>
    <w:rsid w:val="00240D4C"/>
    <w:rsid w:val="00253316"/>
    <w:rsid w:val="00256A41"/>
    <w:rsid w:val="00267580"/>
    <w:rsid w:val="0027742E"/>
    <w:rsid w:val="002962EF"/>
    <w:rsid w:val="002A16BC"/>
    <w:rsid w:val="002A4C14"/>
    <w:rsid w:val="002B0C7E"/>
    <w:rsid w:val="002C0BB1"/>
    <w:rsid w:val="002C46F3"/>
    <w:rsid w:val="002C4CF8"/>
    <w:rsid w:val="002E7060"/>
    <w:rsid w:val="002F24B5"/>
    <w:rsid w:val="003162B0"/>
    <w:rsid w:val="003201BC"/>
    <w:rsid w:val="00324680"/>
    <w:rsid w:val="00331BD8"/>
    <w:rsid w:val="00356624"/>
    <w:rsid w:val="003567EC"/>
    <w:rsid w:val="00371366"/>
    <w:rsid w:val="003764C5"/>
    <w:rsid w:val="0038244A"/>
    <w:rsid w:val="0038779A"/>
    <w:rsid w:val="003A1A66"/>
    <w:rsid w:val="003B1AE8"/>
    <w:rsid w:val="003D4F62"/>
    <w:rsid w:val="003E5893"/>
    <w:rsid w:val="003F78C9"/>
    <w:rsid w:val="004034F1"/>
    <w:rsid w:val="00407ED0"/>
    <w:rsid w:val="00423A9B"/>
    <w:rsid w:val="00435577"/>
    <w:rsid w:val="00456420"/>
    <w:rsid w:val="004578AB"/>
    <w:rsid w:val="004773E8"/>
    <w:rsid w:val="00497856"/>
    <w:rsid w:val="004A057C"/>
    <w:rsid w:val="004A2D92"/>
    <w:rsid w:val="004A3112"/>
    <w:rsid w:val="004A4328"/>
    <w:rsid w:val="004A70D5"/>
    <w:rsid w:val="004E09D9"/>
    <w:rsid w:val="00500051"/>
    <w:rsid w:val="00513757"/>
    <w:rsid w:val="00540BB6"/>
    <w:rsid w:val="005436F5"/>
    <w:rsid w:val="0056156F"/>
    <w:rsid w:val="00574E73"/>
    <w:rsid w:val="005767BC"/>
    <w:rsid w:val="00581D61"/>
    <w:rsid w:val="005A040D"/>
    <w:rsid w:val="005B7464"/>
    <w:rsid w:val="005D4027"/>
    <w:rsid w:val="005D4D12"/>
    <w:rsid w:val="005D624C"/>
    <w:rsid w:val="005E5E4C"/>
    <w:rsid w:val="005E6FD1"/>
    <w:rsid w:val="005F2B55"/>
    <w:rsid w:val="00600CEE"/>
    <w:rsid w:val="00603504"/>
    <w:rsid w:val="006067AC"/>
    <w:rsid w:val="00610AED"/>
    <w:rsid w:val="00613836"/>
    <w:rsid w:val="006261F8"/>
    <w:rsid w:val="0063524F"/>
    <w:rsid w:val="006459DF"/>
    <w:rsid w:val="00684263"/>
    <w:rsid w:val="0068461E"/>
    <w:rsid w:val="006B486C"/>
    <w:rsid w:val="006C539D"/>
    <w:rsid w:val="006C6C01"/>
    <w:rsid w:val="006C71DF"/>
    <w:rsid w:val="006D001C"/>
    <w:rsid w:val="006D4F88"/>
    <w:rsid w:val="006E040A"/>
    <w:rsid w:val="006E14F6"/>
    <w:rsid w:val="006E422E"/>
    <w:rsid w:val="006F2553"/>
    <w:rsid w:val="006F2E4D"/>
    <w:rsid w:val="007105DD"/>
    <w:rsid w:val="00714F43"/>
    <w:rsid w:val="00727907"/>
    <w:rsid w:val="00733657"/>
    <w:rsid w:val="0073386F"/>
    <w:rsid w:val="0073483F"/>
    <w:rsid w:val="007470F8"/>
    <w:rsid w:val="00750841"/>
    <w:rsid w:val="00751E5F"/>
    <w:rsid w:val="00772B55"/>
    <w:rsid w:val="00775FB2"/>
    <w:rsid w:val="00780AC3"/>
    <w:rsid w:val="00781AED"/>
    <w:rsid w:val="00782FB6"/>
    <w:rsid w:val="007B235D"/>
    <w:rsid w:val="007B3C8F"/>
    <w:rsid w:val="007D0CB8"/>
    <w:rsid w:val="007D5075"/>
    <w:rsid w:val="007E0F9E"/>
    <w:rsid w:val="007F5FF3"/>
    <w:rsid w:val="007F67DD"/>
    <w:rsid w:val="007F780E"/>
    <w:rsid w:val="008014C0"/>
    <w:rsid w:val="00803C92"/>
    <w:rsid w:val="00807AEB"/>
    <w:rsid w:val="00810513"/>
    <w:rsid w:val="008154BF"/>
    <w:rsid w:val="00830C86"/>
    <w:rsid w:val="00837A83"/>
    <w:rsid w:val="008414A1"/>
    <w:rsid w:val="00845427"/>
    <w:rsid w:val="00846C3B"/>
    <w:rsid w:val="008545D4"/>
    <w:rsid w:val="00857292"/>
    <w:rsid w:val="00864FD5"/>
    <w:rsid w:val="008770E2"/>
    <w:rsid w:val="008B7ACC"/>
    <w:rsid w:val="008C30B7"/>
    <w:rsid w:val="008E1707"/>
    <w:rsid w:val="008E1E1D"/>
    <w:rsid w:val="008E1F68"/>
    <w:rsid w:val="008E3DE1"/>
    <w:rsid w:val="008E7F23"/>
    <w:rsid w:val="008F1508"/>
    <w:rsid w:val="008F2C17"/>
    <w:rsid w:val="008F2E38"/>
    <w:rsid w:val="008F34C2"/>
    <w:rsid w:val="008F7F0F"/>
    <w:rsid w:val="009016A2"/>
    <w:rsid w:val="0090508A"/>
    <w:rsid w:val="00916C40"/>
    <w:rsid w:val="00932393"/>
    <w:rsid w:val="00933116"/>
    <w:rsid w:val="009332BB"/>
    <w:rsid w:val="009439D4"/>
    <w:rsid w:val="00961EBA"/>
    <w:rsid w:val="009637B3"/>
    <w:rsid w:val="0097751A"/>
    <w:rsid w:val="0098012D"/>
    <w:rsid w:val="009835B7"/>
    <w:rsid w:val="009A318F"/>
    <w:rsid w:val="009B6173"/>
    <w:rsid w:val="009C4F48"/>
    <w:rsid w:val="009D5901"/>
    <w:rsid w:val="009D67E3"/>
    <w:rsid w:val="009E5946"/>
    <w:rsid w:val="00A03161"/>
    <w:rsid w:val="00A05E4A"/>
    <w:rsid w:val="00A416D7"/>
    <w:rsid w:val="00A511D4"/>
    <w:rsid w:val="00A7035A"/>
    <w:rsid w:val="00A70F06"/>
    <w:rsid w:val="00A847CF"/>
    <w:rsid w:val="00A8586F"/>
    <w:rsid w:val="00A963A9"/>
    <w:rsid w:val="00AA270D"/>
    <w:rsid w:val="00AA4176"/>
    <w:rsid w:val="00AC3873"/>
    <w:rsid w:val="00AE0ECB"/>
    <w:rsid w:val="00AE4562"/>
    <w:rsid w:val="00AF645C"/>
    <w:rsid w:val="00B05375"/>
    <w:rsid w:val="00B07EE1"/>
    <w:rsid w:val="00B17305"/>
    <w:rsid w:val="00B36E3F"/>
    <w:rsid w:val="00B63252"/>
    <w:rsid w:val="00B7375E"/>
    <w:rsid w:val="00B80A88"/>
    <w:rsid w:val="00B90519"/>
    <w:rsid w:val="00BB4464"/>
    <w:rsid w:val="00BC4FEE"/>
    <w:rsid w:val="00BC5081"/>
    <w:rsid w:val="00BC66C8"/>
    <w:rsid w:val="00BC6D6B"/>
    <w:rsid w:val="00BD0E77"/>
    <w:rsid w:val="00BF04FF"/>
    <w:rsid w:val="00BF0614"/>
    <w:rsid w:val="00C0162B"/>
    <w:rsid w:val="00C01B59"/>
    <w:rsid w:val="00C0772E"/>
    <w:rsid w:val="00C13655"/>
    <w:rsid w:val="00C25245"/>
    <w:rsid w:val="00C506CE"/>
    <w:rsid w:val="00CA699B"/>
    <w:rsid w:val="00CB01F3"/>
    <w:rsid w:val="00CC558C"/>
    <w:rsid w:val="00CD74D8"/>
    <w:rsid w:val="00CD7B31"/>
    <w:rsid w:val="00CF04DB"/>
    <w:rsid w:val="00D309B9"/>
    <w:rsid w:val="00D43166"/>
    <w:rsid w:val="00D6025B"/>
    <w:rsid w:val="00D6110C"/>
    <w:rsid w:val="00D621F0"/>
    <w:rsid w:val="00D812E1"/>
    <w:rsid w:val="00D907ED"/>
    <w:rsid w:val="00DB0B8D"/>
    <w:rsid w:val="00DB3BAB"/>
    <w:rsid w:val="00DB5CE8"/>
    <w:rsid w:val="00DC2D61"/>
    <w:rsid w:val="00DC3DFE"/>
    <w:rsid w:val="00DD0C23"/>
    <w:rsid w:val="00DD14A9"/>
    <w:rsid w:val="00DF28E6"/>
    <w:rsid w:val="00DF399B"/>
    <w:rsid w:val="00E01221"/>
    <w:rsid w:val="00E04212"/>
    <w:rsid w:val="00E05D9A"/>
    <w:rsid w:val="00E110C7"/>
    <w:rsid w:val="00E269DA"/>
    <w:rsid w:val="00E36DDF"/>
    <w:rsid w:val="00E50C06"/>
    <w:rsid w:val="00E613B7"/>
    <w:rsid w:val="00E61F98"/>
    <w:rsid w:val="00E624ED"/>
    <w:rsid w:val="00E97E7E"/>
    <w:rsid w:val="00EA1278"/>
    <w:rsid w:val="00EA14F6"/>
    <w:rsid w:val="00EA1DA2"/>
    <w:rsid w:val="00EC5F47"/>
    <w:rsid w:val="00EE1CCC"/>
    <w:rsid w:val="00EE46EB"/>
    <w:rsid w:val="00EF3A3C"/>
    <w:rsid w:val="00EF4AB9"/>
    <w:rsid w:val="00F12285"/>
    <w:rsid w:val="00F201DF"/>
    <w:rsid w:val="00F32F88"/>
    <w:rsid w:val="00F3345C"/>
    <w:rsid w:val="00F41027"/>
    <w:rsid w:val="00F42920"/>
    <w:rsid w:val="00F449A7"/>
    <w:rsid w:val="00F4713E"/>
    <w:rsid w:val="00F51D4B"/>
    <w:rsid w:val="00F65210"/>
    <w:rsid w:val="00F67F43"/>
    <w:rsid w:val="00F73755"/>
    <w:rsid w:val="00F834A4"/>
    <w:rsid w:val="00F9758B"/>
    <w:rsid w:val="00FA2AD0"/>
    <w:rsid w:val="00FA347A"/>
    <w:rsid w:val="00FE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5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345C"/>
    <w:rPr>
      <w:rFonts w:eastAsia="標楷體"/>
      <w:sz w:val="32"/>
    </w:rPr>
  </w:style>
  <w:style w:type="paragraph" w:styleId="a4">
    <w:name w:val="Body Text Indent"/>
    <w:basedOn w:val="a"/>
    <w:rsid w:val="00F3345C"/>
    <w:pPr>
      <w:spacing w:line="0" w:lineRule="atLeast"/>
      <w:ind w:left="680"/>
    </w:pPr>
    <w:rPr>
      <w:rFonts w:eastAsia="標楷體"/>
      <w:sz w:val="32"/>
    </w:rPr>
  </w:style>
  <w:style w:type="paragraph" w:styleId="2">
    <w:name w:val="Body Text 2"/>
    <w:basedOn w:val="a"/>
    <w:rsid w:val="00F3345C"/>
    <w:pPr>
      <w:spacing w:line="0" w:lineRule="atLeast"/>
    </w:pPr>
    <w:rPr>
      <w:rFonts w:eastAsia="細明體"/>
      <w:color w:val="0000FF"/>
    </w:rPr>
  </w:style>
  <w:style w:type="paragraph" w:styleId="3">
    <w:name w:val="Body Text Indent 3"/>
    <w:basedOn w:val="a"/>
    <w:rsid w:val="00F3345C"/>
    <w:pPr>
      <w:spacing w:line="0" w:lineRule="atLeast"/>
      <w:ind w:leftChars="225" w:left="225" w:firstLineChars="7" w:firstLine="20"/>
    </w:pPr>
    <w:rPr>
      <w:rFonts w:ascii="標楷體" w:eastAsia="標楷體" w:hint="eastAsia"/>
      <w:sz w:val="28"/>
    </w:rPr>
  </w:style>
  <w:style w:type="paragraph" w:styleId="a5">
    <w:name w:val="Balloon Text"/>
    <w:basedOn w:val="a"/>
    <w:semiHidden/>
    <w:rsid w:val="00F3345C"/>
    <w:rPr>
      <w:rFonts w:ascii="Arial" w:hAnsi="Arial"/>
      <w:sz w:val="18"/>
      <w:szCs w:val="18"/>
    </w:rPr>
  </w:style>
  <w:style w:type="paragraph" w:styleId="a6">
    <w:name w:val="header"/>
    <w:basedOn w:val="a"/>
    <w:rsid w:val="00F33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F33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F3345C"/>
  </w:style>
  <w:style w:type="paragraph" w:styleId="Web">
    <w:name w:val="Normal (Web)"/>
    <w:basedOn w:val="a"/>
    <w:rsid w:val="00F3345C"/>
    <w:pPr>
      <w:widowControl/>
      <w:spacing w:before="100" w:beforeAutospacing="1" w:after="100" w:afterAutospacing="1"/>
    </w:pPr>
    <w:rPr>
      <w:rFonts w:ascii="Arial" w:eastAsia="Arial Unicode MS" w:hAnsi="Arial" w:cs="Arial"/>
      <w:kern w:val="0"/>
    </w:rPr>
  </w:style>
  <w:style w:type="character" w:styleId="a9">
    <w:name w:val="Hyperlink"/>
    <w:basedOn w:val="a0"/>
    <w:unhideWhenUsed/>
    <w:rsid w:val="002245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5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345C"/>
    <w:rPr>
      <w:rFonts w:eastAsia="標楷體"/>
      <w:sz w:val="32"/>
    </w:rPr>
  </w:style>
  <w:style w:type="paragraph" w:styleId="a4">
    <w:name w:val="Body Text Indent"/>
    <w:basedOn w:val="a"/>
    <w:rsid w:val="00F3345C"/>
    <w:pPr>
      <w:spacing w:line="0" w:lineRule="atLeast"/>
      <w:ind w:left="680"/>
    </w:pPr>
    <w:rPr>
      <w:rFonts w:eastAsia="標楷體"/>
      <w:sz w:val="32"/>
    </w:rPr>
  </w:style>
  <w:style w:type="paragraph" w:styleId="2">
    <w:name w:val="Body Text 2"/>
    <w:basedOn w:val="a"/>
    <w:rsid w:val="00F3345C"/>
    <w:pPr>
      <w:spacing w:line="0" w:lineRule="atLeast"/>
    </w:pPr>
    <w:rPr>
      <w:rFonts w:eastAsia="細明體"/>
      <w:color w:val="0000FF"/>
    </w:rPr>
  </w:style>
  <w:style w:type="paragraph" w:styleId="3">
    <w:name w:val="Body Text Indent 3"/>
    <w:basedOn w:val="a"/>
    <w:rsid w:val="00F3345C"/>
    <w:pPr>
      <w:spacing w:line="0" w:lineRule="atLeast"/>
      <w:ind w:leftChars="225" w:left="225" w:firstLineChars="7" w:firstLine="20"/>
    </w:pPr>
    <w:rPr>
      <w:rFonts w:ascii="標楷體" w:eastAsia="標楷體" w:hint="eastAsia"/>
      <w:sz w:val="28"/>
    </w:rPr>
  </w:style>
  <w:style w:type="paragraph" w:styleId="a5">
    <w:name w:val="Balloon Text"/>
    <w:basedOn w:val="a"/>
    <w:semiHidden/>
    <w:rsid w:val="00F3345C"/>
    <w:rPr>
      <w:rFonts w:ascii="Arial" w:hAnsi="Arial"/>
      <w:sz w:val="18"/>
      <w:szCs w:val="18"/>
    </w:rPr>
  </w:style>
  <w:style w:type="paragraph" w:styleId="a6">
    <w:name w:val="header"/>
    <w:basedOn w:val="a"/>
    <w:rsid w:val="00F33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F33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F3345C"/>
  </w:style>
  <w:style w:type="paragraph" w:styleId="Web">
    <w:name w:val="Normal (Web)"/>
    <w:basedOn w:val="a"/>
    <w:rsid w:val="00F3345C"/>
    <w:pPr>
      <w:widowControl/>
      <w:spacing w:before="100" w:beforeAutospacing="1" w:after="100" w:afterAutospacing="1"/>
    </w:pPr>
    <w:rPr>
      <w:rFonts w:ascii="Arial" w:eastAsia="Arial Unicode MS" w:hAnsi="Arial" w:cs="Arial"/>
      <w:kern w:val="0"/>
    </w:rPr>
  </w:style>
  <w:style w:type="character" w:styleId="a9">
    <w:name w:val="Hyperlink"/>
    <w:basedOn w:val="a0"/>
    <w:unhideWhenUsed/>
    <w:rsid w:val="002245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005F2-33D7-4A70-BD30-1855CE090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892</Characters>
  <Application>Microsoft Office Word</Application>
  <DocSecurity>0</DocSecurity>
  <Lines>7</Lines>
  <Paragraphs>2</Paragraphs>
  <ScaleCrop>false</ScaleCrop>
  <Company>no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內政部新聞資料</dc:title>
  <dc:creator>moi</dc:creator>
  <cp:lastModifiedBy>w01aeyc</cp:lastModifiedBy>
  <cp:revision>4</cp:revision>
  <cp:lastPrinted>2018-01-25T03:12:00Z</cp:lastPrinted>
  <dcterms:created xsi:type="dcterms:W3CDTF">2018-01-24T07:14:00Z</dcterms:created>
  <dcterms:modified xsi:type="dcterms:W3CDTF">2018-01-25T03:12:00Z</dcterms:modified>
</cp:coreProperties>
</file>