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E7A" w:rsidRPr="00974A09" w:rsidRDefault="00582E7A" w:rsidP="00582E7A">
      <w:pPr>
        <w:spacing w:afterLines="50" w:after="180" w:line="360" w:lineRule="auto"/>
        <w:ind w:leftChars="-235" w:left="2" w:hangingChars="202" w:hanging="566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974A09">
        <w:rPr>
          <w:noProof/>
          <w:sz w:val="28"/>
        </w:rPr>
        <w:drawing>
          <wp:inline distT="0" distB="0" distL="0" distR="0" wp14:anchorId="26235426" wp14:editId="34600DC6">
            <wp:extent cx="5934075" cy="803472"/>
            <wp:effectExtent l="0" t="0" r="0" b="0"/>
            <wp:docPr id="1" name="圖片 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未命名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0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E7A" w:rsidRPr="00974A09" w:rsidRDefault="00582E7A" w:rsidP="00582E7A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974A09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Ind w:w="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974A09" w:rsidRPr="00974A09" w:rsidTr="00B10A28">
        <w:trPr>
          <w:jc w:val="center"/>
        </w:trPr>
        <w:tc>
          <w:tcPr>
            <w:tcW w:w="1009" w:type="dxa"/>
            <w:vAlign w:val="center"/>
          </w:tcPr>
          <w:p w:rsidR="00582E7A" w:rsidRPr="00974A09" w:rsidRDefault="00582E7A" w:rsidP="00B10A28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74A09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582E7A" w:rsidRPr="00974A09" w:rsidRDefault="002F3F7B" w:rsidP="00B10A28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106/12/</w:t>
            </w:r>
            <w:r w:rsidR="00910FAE">
              <w:rPr>
                <w:rFonts w:eastAsia="標楷體" w:hint="eastAsia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4</w:t>
            </w:r>
          </w:p>
        </w:tc>
        <w:tc>
          <w:tcPr>
            <w:tcW w:w="900" w:type="dxa"/>
            <w:vAlign w:val="center"/>
          </w:tcPr>
          <w:p w:rsidR="00582E7A" w:rsidRPr="00974A09" w:rsidRDefault="00582E7A" w:rsidP="00B10A28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74A09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582E7A" w:rsidRPr="00974A09" w:rsidRDefault="00910FAE" w:rsidP="00B10A28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食品藥物管理署</w:t>
            </w:r>
          </w:p>
        </w:tc>
        <w:tc>
          <w:tcPr>
            <w:tcW w:w="1080" w:type="dxa"/>
            <w:vAlign w:val="center"/>
          </w:tcPr>
          <w:p w:rsidR="00582E7A" w:rsidRPr="00974A09" w:rsidRDefault="00582E7A" w:rsidP="00B10A28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74A09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582E7A" w:rsidRPr="00974A09" w:rsidRDefault="00582E7A" w:rsidP="00B10A28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B96D2C" w:rsidRDefault="00B96D2C" w:rsidP="00582E7A">
      <w:pPr>
        <w:spacing w:line="5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582E7A" w:rsidRPr="00974A09" w:rsidRDefault="002F3F7B" w:rsidP="00582E7A">
      <w:pPr>
        <w:spacing w:line="54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行政院會通過「醫療器材管理法」</w:t>
      </w:r>
      <w:r w:rsidR="00910FAE" w:rsidRPr="00910FAE">
        <w:rPr>
          <w:rFonts w:ascii="標楷體" w:eastAsia="標楷體" w:hAnsi="標楷體" w:hint="eastAsia"/>
          <w:b/>
          <w:sz w:val="32"/>
          <w:szCs w:val="32"/>
        </w:rPr>
        <w:t>草案</w:t>
      </w:r>
    </w:p>
    <w:p w:rsidR="00B96D2C" w:rsidRPr="004F10FA" w:rsidRDefault="00B96D2C" w:rsidP="008D442F">
      <w:pPr>
        <w:kinsoku w:val="0"/>
        <w:topLinePunct/>
        <w:adjustRightInd w:val="0"/>
        <w:spacing w:beforeLines="50" w:before="180" w:line="480" w:lineRule="exact"/>
        <w:ind w:right="17" w:firstLineChars="200" w:firstLine="640"/>
        <w:jc w:val="both"/>
        <w:rPr>
          <w:rFonts w:ascii="標楷體" w:eastAsia="標楷體" w:hAnsi="標楷體"/>
          <w:kern w:val="0"/>
          <w:sz w:val="32"/>
          <w:szCs w:val="32"/>
          <w:lang w:val="zh-TW"/>
        </w:rPr>
      </w:pPr>
      <w:r w:rsidRPr="004F10FA">
        <w:rPr>
          <w:rFonts w:ascii="標楷體" w:eastAsia="標楷體" w:hAnsi="標楷體" w:hint="eastAsia"/>
          <w:kern w:val="0"/>
          <w:sz w:val="32"/>
          <w:szCs w:val="32"/>
          <w:lang w:val="zh-TW"/>
        </w:rPr>
        <w:t>行政院會今（</w:t>
      </w:r>
      <w:r w:rsidR="002F3F7B">
        <w:rPr>
          <w:rFonts w:ascii="標楷體" w:eastAsia="標楷體" w:hAnsi="標楷體" w:hint="eastAsia"/>
          <w:kern w:val="0"/>
          <w:sz w:val="32"/>
          <w:szCs w:val="32"/>
          <w:lang w:val="zh-TW"/>
        </w:rPr>
        <w:t>14）日通過</w:t>
      </w:r>
      <w:proofErr w:type="gramStart"/>
      <w:r w:rsidR="002F3F7B">
        <w:rPr>
          <w:rFonts w:ascii="標楷體" w:eastAsia="標楷體" w:hAnsi="標楷體" w:hint="eastAsia"/>
          <w:kern w:val="0"/>
          <w:sz w:val="32"/>
          <w:szCs w:val="32"/>
          <w:lang w:val="zh-TW"/>
        </w:rPr>
        <w:t>衛福部擬</w:t>
      </w:r>
      <w:proofErr w:type="gramEnd"/>
      <w:r w:rsidR="002F3F7B">
        <w:rPr>
          <w:rFonts w:ascii="標楷體" w:eastAsia="標楷體" w:hAnsi="標楷體" w:hint="eastAsia"/>
          <w:kern w:val="0"/>
          <w:sz w:val="32"/>
          <w:szCs w:val="32"/>
          <w:lang w:val="zh-TW"/>
        </w:rPr>
        <w:t>具的「醫療器材管理法</w:t>
      </w:r>
      <w:r w:rsidRPr="004F10FA">
        <w:rPr>
          <w:rFonts w:ascii="標楷體" w:eastAsia="標楷體" w:hAnsi="標楷體" w:hint="eastAsia"/>
          <w:kern w:val="0"/>
          <w:sz w:val="32"/>
          <w:szCs w:val="32"/>
          <w:lang w:val="zh-TW"/>
        </w:rPr>
        <w:t>」草案，將函請立法院審議。</w:t>
      </w:r>
    </w:p>
    <w:p w:rsidR="002F3F7B" w:rsidRDefault="00B96D2C" w:rsidP="008D442F">
      <w:pPr>
        <w:kinsoku w:val="0"/>
        <w:topLinePunct/>
        <w:adjustRightInd w:val="0"/>
        <w:spacing w:beforeLines="50" w:before="180" w:line="480" w:lineRule="exact"/>
        <w:ind w:right="17" w:firstLineChars="200" w:firstLine="640"/>
        <w:jc w:val="both"/>
        <w:rPr>
          <w:rFonts w:eastAsia="標楷體"/>
          <w:kern w:val="0"/>
          <w:sz w:val="32"/>
          <w:szCs w:val="32"/>
        </w:rPr>
      </w:pPr>
      <w:proofErr w:type="gramStart"/>
      <w:r w:rsidRPr="004F10FA">
        <w:rPr>
          <w:rFonts w:eastAsia="標楷體" w:hint="eastAsia"/>
          <w:kern w:val="0"/>
          <w:sz w:val="32"/>
          <w:szCs w:val="32"/>
        </w:rPr>
        <w:t>衛福部</w:t>
      </w:r>
      <w:proofErr w:type="gramEnd"/>
      <w:r w:rsidRPr="00031F65">
        <w:rPr>
          <w:rFonts w:eastAsia="標楷體" w:hint="eastAsia"/>
          <w:kern w:val="0"/>
          <w:sz w:val="32"/>
          <w:szCs w:val="32"/>
        </w:rPr>
        <w:t>因應</w:t>
      </w:r>
      <w:r w:rsidR="002F3F7B" w:rsidRPr="002F3F7B">
        <w:rPr>
          <w:rFonts w:eastAsia="標楷體" w:hint="eastAsia"/>
          <w:kern w:val="0"/>
          <w:sz w:val="32"/>
          <w:szCs w:val="32"/>
        </w:rPr>
        <w:t>近年醫療器材產業蓬勃發展</w:t>
      </w:r>
      <w:r w:rsidR="002F3F7B">
        <w:rPr>
          <w:rFonts w:eastAsia="標楷體" w:hint="eastAsia"/>
          <w:kern w:val="0"/>
          <w:sz w:val="32"/>
          <w:szCs w:val="32"/>
        </w:rPr>
        <w:t>，</w:t>
      </w:r>
      <w:r w:rsidR="00A55E8C">
        <w:rPr>
          <w:rFonts w:eastAsia="標楷體" w:hint="eastAsia"/>
          <w:kern w:val="0"/>
          <w:sz w:val="32"/>
          <w:szCs w:val="32"/>
        </w:rPr>
        <w:t>醫療器材之管理特性及</w:t>
      </w:r>
      <w:r w:rsidR="002F3F7B" w:rsidRPr="002F3F7B">
        <w:rPr>
          <w:rFonts w:eastAsia="標楷體" w:hint="eastAsia"/>
          <w:kern w:val="0"/>
          <w:sz w:val="32"/>
          <w:szCs w:val="32"/>
        </w:rPr>
        <w:t>業者多元化經營模式</w:t>
      </w:r>
      <w:r w:rsidR="00FE26DA">
        <w:rPr>
          <w:rFonts w:eastAsia="標楷體" w:hint="eastAsia"/>
          <w:kern w:val="0"/>
          <w:sz w:val="32"/>
          <w:szCs w:val="32"/>
        </w:rPr>
        <w:t>，</w:t>
      </w:r>
      <w:proofErr w:type="gramStart"/>
      <w:r w:rsidR="00FE26DA">
        <w:rPr>
          <w:rFonts w:eastAsia="標楷體" w:hint="eastAsia"/>
          <w:kern w:val="0"/>
          <w:sz w:val="32"/>
          <w:szCs w:val="32"/>
        </w:rPr>
        <w:t>均</w:t>
      </w:r>
      <w:r w:rsidR="002F3F7B" w:rsidRPr="002F3F7B">
        <w:rPr>
          <w:rFonts w:eastAsia="標楷體" w:hint="eastAsia"/>
          <w:kern w:val="0"/>
          <w:sz w:val="32"/>
          <w:szCs w:val="32"/>
        </w:rPr>
        <w:t>與藥品</w:t>
      </w:r>
      <w:proofErr w:type="gramEnd"/>
      <w:r w:rsidR="002F3F7B" w:rsidRPr="002F3F7B">
        <w:rPr>
          <w:rFonts w:eastAsia="標楷體" w:hint="eastAsia"/>
          <w:kern w:val="0"/>
          <w:sz w:val="32"/>
          <w:szCs w:val="32"/>
        </w:rPr>
        <w:t>頗具差異</w:t>
      </w:r>
      <w:r w:rsidRPr="00031F65">
        <w:rPr>
          <w:rFonts w:eastAsia="標楷體" w:hint="eastAsia"/>
          <w:kern w:val="0"/>
          <w:sz w:val="32"/>
          <w:szCs w:val="32"/>
        </w:rPr>
        <w:t>，</w:t>
      </w:r>
      <w:proofErr w:type="gramStart"/>
      <w:r w:rsidR="00FE26DA">
        <w:rPr>
          <w:rFonts w:eastAsia="標楷體" w:hint="eastAsia"/>
          <w:kern w:val="0"/>
          <w:sz w:val="32"/>
          <w:szCs w:val="32"/>
        </w:rPr>
        <w:t>爰</w:t>
      </w:r>
      <w:proofErr w:type="gramEnd"/>
      <w:r w:rsidR="002F3F7B" w:rsidRPr="002F3F7B">
        <w:rPr>
          <w:rFonts w:eastAsia="標楷體" w:hint="eastAsia"/>
          <w:kern w:val="0"/>
          <w:sz w:val="32"/>
          <w:szCs w:val="32"/>
        </w:rPr>
        <w:t>以藥事法中醫療器</w:t>
      </w:r>
      <w:r w:rsidR="00FE26DA">
        <w:rPr>
          <w:rFonts w:eastAsia="標楷體" w:hint="eastAsia"/>
          <w:kern w:val="0"/>
          <w:sz w:val="32"/>
          <w:szCs w:val="32"/>
        </w:rPr>
        <w:t>材相關條文為基礎，</w:t>
      </w:r>
      <w:r w:rsidR="008D442F">
        <w:rPr>
          <w:rFonts w:eastAsia="標楷體" w:hint="eastAsia"/>
          <w:kern w:val="0"/>
          <w:sz w:val="32"/>
          <w:szCs w:val="32"/>
        </w:rPr>
        <w:t>蒐</w:t>
      </w:r>
      <w:r w:rsidR="00FE26DA">
        <w:rPr>
          <w:rFonts w:eastAsia="標楷體" w:hint="eastAsia"/>
          <w:kern w:val="0"/>
          <w:sz w:val="32"/>
          <w:szCs w:val="32"/>
        </w:rPr>
        <w:t>集</w:t>
      </w:r>
      <w:r w:rsidR="002F3F7B" w:rsidRPr="002F3F7B">
        <w:rPr>
          <w:rFonts w:eastAsia="標楷體" w:hint="eastAsia"/>
          <w:kern w:val="0"/>
          <w:sz w:val="32"/>
          <w:szCs w:val="32"/>
        </w:rPr>
        <w:t>分析外國立法例</w:t>
      </w:r>
      <w:r w:rsidR="002F3F7B" w:rsidRPr="002F3F7B">
        <w:rPr>
          <w:rFonts w:eastAsia="標楷體"/>
          <w:kern w:val="0"/>
          <w:sz w:val="32"/>
          <w:szCs w:val="32"/>
        </w:rPr>
        <w:t>，</w:t>
      </w:r>
      <w:r w:rsidR="002F3F7B" w:rsidRPr="002F3F7B">
        <w:rPr>
          <w:rFonts w:eastAsia="標楷體" w:hint="eastAsia"/>
          <w:kern w:val="0"/>
          <w:sz w:val="32"/>
          <w:szCs w:val="32"/>
        </w:rPr>
        <w:t>並兼顧</w:t>
      </w:r>
      <w:r w:rsidR="002F3F7B" w:rsidRPr="002F3F7B">
        <w:rPr>
          <w:rFonts w:eastAsia="標楷體"/>
          <w:kern w:val="0"/>
          <w:sz w:val="32"/>
          <w:szCs w:val="32"/>
        </w:rPr>
        <w:t>國</w:t>
      </w:r>
      <w:r w:rsidR="002F3F7B" w:rsidRPr="002F3F7B">
        <w:rPr>
          <w:rFonts w:eastAsia="標楷體" w:hint="eastAsia"/>
          <w:kern w:val="0"/>
          <w:sz w:val="32"/>
          <w:szCs w:val="32"/>
        </w:rPr>
        <w:t>內</w:t>
      </w:r>
      <w:r w:rsidR="002F3F7B" w:rsidRPr="002F3F7B">
        <w:rPr>
          <w:rFonts w:eastAsia="標楷體"/>
          <w:kern w:val="0"/>
          <w:sz w:val="32"/>
          <w:szCs w:val="32"/>
        </w:rPr>
        <w:t>醫療器材</w:t>
      </w:r>
      <w:r w:rsidR="002F3F7B" w:rsidRPr="002F3F7B">
        <w:rPr>
          <w:rFonts w:eastAsia="標楷體" w:hint="eastAsia"/>
          <w:kern w:val="0"/>
          <w:sz w:val="32"/>
          <w:szCs w:val="32"/>
        </w:rPr>
        <w:t>產業</w:t>
      </w:r>
      <w:r w:rsidR="002F3F7B" w:rsidRPr="002F3F7B">
        <w:rPr>
          <w:rFonts w:eastAsia="標楷體"/>
          <w:kern w:val="0"/>
          <w:sz w:val="32"/>
          <w:szCs w:val="32"/>
        </w:rPr>
        <w:t>發展</w:t>
      </w:r>
      <w:r w:rsidR="002F3F7B" w:rsidRPr="002F3F7B">
        <w:rPr>
          <w:rFonts w:eastAsia="標楷體" w:hint="eastAsia"/>
          <w:kern w:val="0"/>
          <w:sz w:val="32"/>
          <w:szCs w:val="32"/>
        </w:rPr>
        <w:t>趨勢，建置符合我國實務管理之「醫療器材管理法」，以健全國內醫療器材管理制度。</w:t>
      </w:r>
    </w:p>
    <w:p w:rsidR="00B96D2C" w:rsidRPr="004F10FA" w:rsidRDefault="002F3F7B" w:rsidP="00B96D2C">
      <w:pPr>
        <w:kinsoku w:val="0"/>
        <w:topLinePunct/>
        <w:adjustRightInd w:val="0"/>
        <w:spacing w:beforeLines="50" w:before="180" w:line="480" w:lineRule="exact"/>
        <w:ind w:right="17"/>
        <w:jc w:val="both"/>
        <w:rPr>
          <w:rFonts w:eastAsia="標楷體"/>
          <w:kern w:val="0"/>
          <w:sz w:val="32"/>
          <w:szCs w:val="32"/>
        </w:rPr>
      </w:pPr>
      <w:r>
        <w:rPr>
          <w:rFonts w:eastAsia="標楷體" w:hint="eastAsia"/>
          <w:kern w:val="0"/>
          <w:sz w:val="32"/>
          <w:szCs w:val="32"/>
        </w:rPr>
        <w:t>草案</w:t>
      </w:r>
      <w:r w:rsidR="008D442F">
        <w:rPr>
          <w:rFonts w:eastAsia="標楷體" w:hint="eastAsia"/>
          <w:kern w:val="0"/>
          <w:sz w:val="32"/>
          <w:szCs w:val="32"/>
        </w:rPr>
        <w:t>共</w:t>
      </w:r>
      <w:r w:rsidR="008D442F">
        <w:rPr>
          <w:rFonts w:eastAsia="標楷體" w:hint="eastAsia"/>
          <w:kern w:val="0"/>
          <w:sz w:val="32"/>
          <w:szCs w:val="32"/>
        </w:rPr>
        <w:t>83</w:t>
      </w:r>
      <w:r w:rsidR="008D442F">
        <w:rPr>
          <w:rFonts w:eastAsia="標楷體" w:hint="eastAsia"/>
          <w:kern w:val="0"/>
          <w:sz w:val="32"/>
          <w:szCs w:val="32"/>
        </w:rPr>
        <w:t>條，</w:t>
      </w:r>
      <w:r>
        <w:rPr>
          <w:rFonts w:eastAsia="標楷體" w:hint="eastAsia"/>
          <w:kern w:val="0"/>
          <w:sz w:val="32"/>
          <w:szCs w:val="32"/>
        </w:rPr>
        <w:t>制定重點</w:t>
      </w:r>
      <w:r w:rsidR="00B96D2C" w:rsidRPr="004F10FA">
        <w:rPr>
          <w:rFonts w:eastAsia="標楷體" w:hint="eastAsia"/>
          <w:kern w:val="0"/>
          <w:sz w:val="32"/>
          <w:szCs w:val="32"/>
        </w:rPr>
        <w:t>如下：</w:t>
      </w:r>
    </w:p>
    <w:p w:rsidR="003A14FB" w:rsidRDefault="003A14FB" w:rsidP="00B77CD7">
      <w:pPr>
        <w:pStyle w:val="ab"/>
        <w:numPr>
          <w:ilvl w:val="0"/>
          <w:numId w:val="8"/>
        </w:numPr>
        <w:kinsoku w:val="0"/>
        <w:topLinePunct/>
        <w:adjustRightInd w:val="0"/>
        <w:spacing w:line="480" w:lineRule="exact"/>
        <w:ind w:leftChars="0" w:right="17"/>
        <w:jc w:val="both"/>
        <w:rPr>
          <w:rFonts w:eastAsia="標楷體"/>
          <w:kern w:val="0"/>
          <w:sz w:val="32"/>
          <w:szCs w:val="32"/>
        </w:rPr>
      </w:pPr>
      <w:r w:rsidRPr="003A14FB">
        <w:rPr>
          <w:rFonts w:eastAsia="標楷體" w:hint="eastAsia"/>
          <w:kern w:val="0"/>
          <w:sz w:val="32"/>
          <w:szCs w:val="32"/>
        </w:rPr>
        <w:t>促進產業技術研發</w:t>
      </w:r>
      <w:r w:rsidR="008D442F">
        <w:rPr>
          <w:rFonts w:eastAsia="標楷體" w:hint="eastAsia"/>
          <w:kern w:val="0"/>
          <w:sz w:val="32"/>
          <w:szCs w:val="32"/>
        </w:rPr>
        <w:t>及</w:t>
      </w:r>
      <w:r w:rsidRPr="003A14FB">
        <w:rPr>
          <w:rFonts w:eastAsia="標楷體" w:hint="eastAsia"/>
          <w:kern w:val="0"/>
          <w:sz w:val="32"/>
          <w:szCs w:val="32"/>
        </w:rPr>
        <w:t>產品創新</w:t>
      </w:r>
      <w:r>
        <w:rPr>
          <w:rFonts w:eastAsia="標楷體" w:hint="eastAsia"/>
          <w:kern w:val="0"/>
          <w:sz w:val="32"/>
          <w:szCs w:val="32"/>
        </w:rPr>
        <w:t>，</w:t>
      </w:r>
      <w:r w:rsidR="008D442F">
        <w:rPr>
          <w:rFonts w:eastAsia="標楷體" w:hint="eastAsia"/>
          <w:kern w:val="0"/>
          <w:sz w:val="32"/>
          <w:szCs w:val="32"/>
        </w:rPr>
        <w:t>將從事醫療器材「設計」</w:t>
      </w:r>
      <w:r w:rsidR="00FE26DA">
        <w:rPr>
          <w:rFonts w:eastAsia="標楷體" w:hint="eastAsia"/>
          <w:kern w:val="0"/>
          <w:sz w:val="32"/>
          <w:szCs w:val="32"/>
        </w:rPr>
        <w:t>並以其名義上市者</w:t>
      </w:r>
      <w:r w:rsidR="008D442F">
        <w:rPr>
          <w:rFonts w:eastAsia="標楷體" w:hint="eastAsia"/>
          <w:kern w:val="0"/>
          <w:sz w:val="32"/>
          <w:szCs w:val="32"/>
        </w:rPr>
        <w:t>，納入</w:t>
      </w:r>
      <w:r w:rsidR="00FE26DA">
        <w:rPr>
          <w:rFonts w:eastAsia="標楷體" w:hint="eastAsia"/>
          <w:kern w:val="0"/>
          <w:sz w:val="32"/>
          <w:szCs w:val="32"/>
        </w:rPr>
        <w:t>為</w:t>
      </w:r>
      <w:r>
        <w:rPr>
          <w:rFonts w:eastAsia="標楷體" w:hint="eastAsia"/>
          <w:kern w:val="0"/>
          <w:sz w:val="32"/>
          <w:szCs w:val="32"/>
        </w:rPr>
        <w:t>醫療器材製造業，鼓勵產業研發及產品創新</w:t>
      </w:r>
      <w:r w:rsidR="008D442F">
        <w:rPr>
          <w:rFonts w:eastAsia="標楷體" w:hint="eastAsia"/>
          <w:kern w:val="0"/>
          <w:sz w:val="32"/>
          <w:szCs w:val="32"/>
        </w:rPr>
        <w:t>。</w:t>
      </w:r>
      <w:r w:rsidR="00A01022">
        <w:rPr>
          <w:rFonts w:eastAsia="標楷體" w:hint="eastAsia"/>
          <w:kern w:val="0"/>
          <w:sz w:val="32"/>
          <w:szCs w:val="32"/>
        </w:rPr>
        <w:t>精進</w:t>
      </w:r>
      <w:r>
        <w:rPr>
          <w:rFonts w:eastAsia="標楷體" w:hint="eastAsia"/>
          <w:kern w:val="0"/>
          <w:sz w:val="32"/>
          <w:szCs w:val="32"/>
        </w:rPr>
        <w:t>醫療器材加速上市及配套機制之法源依據</w:t>
      </w:r>
      <w:r w:rsidR="008D442F">
        <w:rPr>
          <w:rFonts w:eastAsia="標楷體" w:hint="eastAsia"/>
          <w:kern w:val="0"/>
          <w:sz w:val="32"/>
          <w:szCs w:val="32"/>
        </w:rPr>
        <w:t>，以嘉惠病患</w:t>
      </w:r>
      <w:r>
        <w:rPr>
          <w:rFonts w:eastAsia="標楷體" w:hint="eastAsia"/>
          <w:kern w:val="0"/>
          <w:sz w:val="32"/>
          <w:szCs w:val="32"/>
        </w:rPr>
        <w:t>（草案第十條、第二十七條）。</w:t>
      </w:r>
    </w:p>
    <w:p w:rsidR="000A1B36" w:rsidRDefault="000A1B36" w:rsidP="00B77CD7">
      <w:pPr>
        <w:pStyle w:val="ab"/>
        <w:numPr>
          <w:ilvl w:val="0"/>
          <w:numId w:val="8"/>
        </w:numPr>
        <w:kinsoku w:val="0"/>
        <w:topLinePunct/>
        <w:adjustRightInd w:val="0"/>
        <w:spacing w:line="480" w:lineRule="exact"/>
        <w:ind w:leftChars="0" w:right="17"/>
        <w:jc w:val="both"/>
        <w:rPr>
          <w:rFonts w:eastAsia="標楷體"/>
          <w:kern w:val="0"/>
          <w:sz w:val="32"/>
          <w:szCs w:val="32"/>
        </w:rPr>
      </w:pPr>
      <w:r>
        <w:rPr>
          <w:rFonts w:eastAsia="標楷體" w:hint="eastAsia"/>
          <w:kern w:val="0"/>
          <w:sz w:val="32"/>
          <w:szCs w:val="32"/>
        </w:rPr>
        <w:t>完善醫療器材多元化科技產業管理，納入醫療器材維修業者管理，及</w:t>
      </w:r>
      <w:r w:rsidR="00C962A5">
        <w:rPr>
          <w:rFonts w:eastAsia="標楷體" w:hint="eastAsia"/>
          <w:kern w:val="0"/>
          <w:sz w:val="32"/>
          <w:szCs w:val="32"/>
        </w:rPr>
        <w:t>規範特定醫療器材之販售及供應型態</w:t>
      </w:r>
      <w:r>
        <w:rPr>
          <w:rFonts w:eastAsia="標楷體" w:hint="eastAsia"/>
          <w:kern w:val="0"/>
          <w:sz w:val="32"/>
          <w:szCs w:val="32"/>
        </w:rPr>
        <w:t>（草案第十一條、第十</w:t>
      </w:r>
      <w:r w:rsidR="00C962A5">
        <w:rPr>
          <w:rFonts w:eastAsia="標楷體" w:hint="eastAsia"/>
          <w:kern w:val="0"/>
          <w:sz w:val="32"/>
          <w:szCs w:val="32"/>
        </w:rPr>
        <w:t>八</w:t>
      </w:r>
      <w:r>
        <w:rPr>
          <w:rFonts w:eastAsia="標楷體" w:hint="eastAsia"/>
          <w:kern w:val="0"/>
          <w:sz w:val="32"/>
          <w:szCs w:val="32"/>
        </w:rPr>
        <w:t>條）。</w:t>
      </w:r>
    </w:p>
    <w:p w:rsidR="00B96D2C" w:rsidRPr="002F3F7B" w:rsidRDefault="002F3F7B" w:rsidP="00B77CD7">
      <w:pPr>
        <w:pStyle w:val="ab"/>
        <w:numPr>
          <w:ilvl w:val="0"/>
          <w:numId w:val="8"/>
        </w:numPr>
        <w:kinsoku w:val="0"/>
        <w:topLinePunct/>
        <w:adjustRightInd w:val="0"/>
        <w:spacing w:line="480" w:lineRule="exact"/>
        <w:ind w:leftChars="0" w:right="17"/>
        <w:jc w:val="both"/>
        <w:rPr>
          <w:rFonts w:eastAsia="標楷體"/>
          <w:kern w:val="0"/>
          <w:sz w:val="32"/>
          <w:szCs w:val="32"/>
        </w:rPr>
      </w:pPr>
      <w:r w:rsidRPr="002F3F7B">
        <w:rPr>
          <w:rFonts w:eastAsia="標楷體" w:hint="eastAsia"/>
          <w:kern w:val="0"/>
          <w:sz w:val="32"/>
          <w:szCs w:val="32"/>
        </w:rPr>
        <w:t>完善醫療器材業者管理制度，規範醫療器材製造</w:t>
      </w:r>
      <w:r w:rsidR="008D442F">
        <w:rPr>
          <w:rFonts w:eastAsia="標楷體" w:hint="eastAsia"/>
          <w:kern w:val="0"/>
          <w:sz w:val="32"/>
          <w:szCs w:val="32"/>
        </w:rPr>
        <w:t>與</w:t>
      </w:r>
      <w:r w:rsidRPr="002F3F7B">
        <w:rPr>
          <w:rFonts w:eastAsia="標楷體" w:hint="eastAsia"/>
          <w:kern w:val="0"/>
          <w:sz w:val="32"/>
          <w:szCs w:val="32"/>
        </w:rPr>
        <w:t>販賣業者管理、產品流向建立、製造品質管理系統要求及運</w:t>
      </w:r>
      <w:r w:rsidRPr="002F3F7B">
        <w:rPr>
          <w:rFonts w:eastAsia="標楷體" w:hint="eastAsia"/>
          <w:kern w:val="0"/>
          <w:sz w:val="32"/>
          <w:szCs w:val="32"/>
        </w:rPr>
        <w:lastRenderedPageBreak/>
        <w:t>銷管理之規定（草案第十三條至第二十四條）</w:t>
      </w:r>
      <w:r w:rsidR="008D442F" w:rsidRPr="002F3F7B">
        <w:rPr>
          <w:rFonts w:eastAsia="標楷體" w:hint="eastAsia"/>
          <w:kern w:val="0"/>
          <w:sz w:val="32"/>
          <w:szCs w:val="32"/>
        </w:rPr>
        <w:t>。</w:t>
      </w:r>
    </w:p>
    <w:p w:rsidR="00582E7A" w:rsidRPr="00100014" w:rsidRDefault="002F3F7B" w:rsidP="00100014">
      <w:pPr>
        <w:pStyle w:val="ab"/>
        <w:numPr>
          <w:ilvl w:val="0"/>
          <w:numId w:val="8"/>
        </w:numPr>
        <w:kinsoku w:val="0"/>
        <w:topLinePunct/>
        <w:adjustRightInd w:val="0"/>
        <w:spacing w:line="480" w:lineRule="exact"/>
        <w:ind w:leftChars="0" w:right="17"/>
        <w:jc w:val="both"/>
        <w:rPr>
          <w:rFonts w:ascii="標楷體" w:eastAsia="標楷體" w:hAnsi="標楷體"/>
          <w:b/>
          <w:sz w:val="32"/>
          <w:szCs w:val="32"/>
        </w:rPr>
      </w:pPr>
      <w:r w:rsidRPr="002F3F7B">
        <w:rPr>
          <w:rFonts w:eastAsia="標楷體" w:hint="eastAsia"/>
          <w:kern w:val="0"/>
          <w:sz w:val="32"/>
          <w:szCs w:val="32"/>
        </w:rPr>
        <w:t>落實產品風險分級管理，</w:t>
      </w:r>
      <w:r w:rsidR="004202F1">
        <w:rPr>
          <w:rFonts w:ascii="標楷體" w:eastAsia="標楷體" w:hAnsi="標楷體" w:hint="eastAsia"/>
          <w:kern w:val="0"/>
          <w:sz w:val="32"/>
          <w:szCs w:val="32"/>
          <w:lang w:val="zh-TW"/>
        </w:rPr>
        <w:t>部分低風險之醫療器材由查驗登記制度改</w:t>
      </w:r>
      <w:proofErr w:type="gramStart"/>
      <w:r w:rsidR="004202F1">
        <w:rPr>
          <w:rFonts w:ascii="標楷體" w:eastAsia="標楷體" w:hAnsi="標楷體" w:hint="eastAsia"/>
          <w:kern w:val="0"/>
          <w:sz w:val="32"/>
          <w:szCs w:val="32"/>
          <w:lang w:val="zh-TW"/>
        </w:rPr>
        <w:t>採電子化線上</w:t>
      </w:r>
      <w:proofErr w:type="gramEnd"/>
      <w:r w:rsidR="004202F1">
        <w:rPr>
          <w:rFonts w:ascii="標楷體" w:eastAsia="標楷體" w:hAnsi="標楷體" w:hint="eastAsia"/>
          <w:kern w:val="0"/>
          <w:sz w:val="32"/>
          <w:szCs w:val="32"/>
          <w:lang w:val="zh-TW"/>
        </w:rPr>
        <w:t>登錄制度，並以年度申報延續登錄效力</w:t>
      </w:r>
      <w:r w:rsidRPr="002F3F7B">
        <w:rPr>
          <w:rFonts w:eastAsia="標楷體" w:hint="eastAsia"/>
          <w:kern w:val="0"/>
          <w:sz w:val="32"/>
          <w:szCs w:val="32"/>
        </w:rPr>
        <w:t>。（草案第二十五條）</w:t>
      </w:r>
    </w:p>
    <w:p w:rsidR="00100014" w:rsidRPr="00100014" w:rsidRDefault="00100014" w:rsidP="00100014">
      <w:pPr>
        <w:numPr>
          <w:ilvl w:val="0"/>
          <w:numId w:val="8"/>
        </w:numPr>
        <w:tabs>
          <w:tab w:val="num" w:pos="851"/>
        </w:tabs>
        <w:kinsoku w:val="0"/>
        <w:autoSpaceDE w:val="0"/>
        <w:autoSpaceDN w:val="0"/>
        <w:adjustRightInd w:val="0"/>
        <w:snapToGrid w:val="0"/>
        <w:spacing w:line="460" w:lineRule="exact"/>
        <w:jc w:val="both"/>
        <w:rPr>
          <w:rFonts w:eastAsia="標楷體" w:hAnsi="標楷體"/>
          <w:sz w:val="32"/>
          <w:szCs w:val="28"/>
        </w:rPr>
      </w:pPr>
      <w:r w:rsidRPr="00100014">
        <w:rPr>
          <w:rFonts w:ascii="Calibri" w:eastAsia="標楷體" w:hAnsi="Calibri" w:hint="eastAsia"/>
          <w:sz w:val="32"/>
          <w:szCs w:val="28"/>
        </w:rPr>
        <w:t>為保護受試者權益，</w:t>
      </w:r>
      <w:r w:rsidRPr="00100014">
        <w:rPr>
          <w:rFonts w:ascii="標楷體" w:eastAsia="標楷體" w:hAnsi="標楷體" w:hint="eastAsia"/>
          <w:sz w:val="32"/>
          <w:szCs w:val="28"/>
        </w:rPr>
        <w:t>規範</w:t>
      </w:r>
      <w:r w:rsidRPr="00100014">
        <w:rPr>
          <w:rFonts w:ascii="標楷體" w:eastAsia="標楷體" w:hAnsi="標楷體"/>
          <w:sz w:val="32"/>
          <w:szCs w:val="28"/>
        </w:rPr>
        <w:t>醫療器材臨床試驗</w:t>
      </w:r>
      <w:r w:rsidRPr="00100014">
        <w:rPr>
          <w:rFonts w:ascii="標楷體" w:eastAsia="標楷體" w:hAnsi="標楷體" w:hint="eastAsia"/>
          <w:sz w:val="32"/>
          <w:szCs w:val="28"/>
        </w:rPr>
        <w:t>之管理</w:t>
      </w:r>
      <w:r w:rsidR="00B77CD7">
        <w:rPr>
          <w:rFonts w:ascii="標楷體" w:eastAsia="標楷體" w:hAnsi="標楷體" w:hint="eastAsia"/>
          <w:sz w:val="32"/>
          <w:szCs w:val="28"/>
        </w:rPr>
        <w:t>，</w:t>
      </w:r>
      <w:r w:rsidRPr="00100014">
        <w:rPr>
          <w:rFonts w:ascii="Calibri" w:eastAsia="標楷體" w:hAnsi="Calibri" w:hint="eastAsia"/>
          <w:sz w:val="32"/>
          <w:szCs w:val="28"/>
        </w:rPr>
        <w:t>試驗施行期間發生與臨床試驗有關之不良情事，皆應通報</w:t>
      </w:r>
      <w:r w:rsidR="00EF4443">
        <w:rPr>
          <w:rFonts w:ascii="Calibri" w:eastAsia="標楷體" w:hAnsi="Calibri" w:hint="eastAsia"/>
          <w:sz w:val="32"/>
          <w:szCs w:val="28"/>
        </w:rPr>
        <w:t>，施行期間有安全之虞，得中止或終止臨床試驗</w:t>
      </w:r>
      <w:r w:rsidR="00EF4443" w:rsidRPr="00100014">
        <w:rPr>
          <w:rFonts w:ascii="標楷體" w:eastAsia="標楷體" w:hAnsi="標楷體" w:hint="eastAsia"/>
          <w:sz w:val="32"/>
          <w:szCs w:val="28"/>
        </w:rPr>
        <w:t>，</w:t>
      </w:r>
      <w:r w:rsidR="00EF4443">
        <w:rPr>
          <w:rFonts w:ascii="標楷體" w:eastAsia="標楷體" w:hAnsi="標楷體" w:hint="eastAsia"/>
          <w:sz w:val="32"/>
          <w:szCs w:val="28"/>
        </w:rPr>
        <w:t>並為落實風險管理，</w:t>
      </w:r>
      <w:r w:rsidR="00EF4443" w:rsidRPr="00B77CD7">
        <w:rPr>
          <w:rFonts w:ascii="標楷體" w:eastAsia="標楷體" w:hAnsi="標楷體" w:hint="eastAsia"/>
          <w:sz w:val="32"/>
          <w:szCs w:val="28"/>
        </w:rPr>
        <w:t>明定執行經公告無顯著風險之醫療器材臨床試驗無需申請</w:t>
      </w:r>
      <w:r w:rsidR="00EF4443">
        <w:rPr>
          <w:rFonts w:ascii="標楷體" w:eastAsia="標楷體" w:hAnsi="標楷體" w:hint="eastAsia"/>
          <w:sz w:val="32"/>
          <w:szCs w:val="28"/>
        </w:rPr>
        <w:t>主管機關</w:t>
      </w:r>
      <w:r w:rsidR="00EF4443" w:rsidRPr="00B77CD7">
        <w:rPr>
          <w:rFonts w:ascii="標楷體" w:eastAsia="標楷體" w:hAnsi="標楷體" w:hint="eastAsia"/>
          <w:sz w:val="32"/>
          <w:szCs w:val="28"/>
        </w:rPr>
        <w:t>核准</w:t>
      </w:r>
      <w:r w:rsidRPr="00100014">
        <w:rPr>
          <w:rFonts w:ascii="標楷體" w:eastAsia="標楷體" w:hAnsi="標楷體" w:hint="eastAsia"/>
          <w:sz w:val="32"/>
          <w:szCs w:val="28"/>
        </w:rPr>
        <w:t>。</w:t>
      </w:r>
      <w:r w:rsidRPr="00100014">
        <w:rPr>
          <w:rFonts w:eastAsia="標楷體" w:hAnsi="標楷體" w:hint="eastAsia"/>
          <w:sz w:val="32"/>
          <w:szCs w:val="28"/>
        </w:rPr>
        <w:t>（草案第三十七條至第三十九條）</w:t>
      </w:r>
    </w:p>
    <w:p w:rsidR="00100014" w:rsidRPr="00100014" w:rsidRDefault="00B77CD7" w:rsidP="00B77CD7">
      <w:pPr>
        <w:numPr>
          <w:ilvl w:val="0"/>
          <w:numId w:val="8"/>
        </w:numPr>
        <w:tabs>
          <w:tab w:val="num" w:pos="709"/>
        </w:tabs>
        <w:kinsoku w:val="0"/>
        <w:autoSpaceDE w:val="0"/>
        <w:autoSpaceDN w:val="0"/>
        <w:adjustRightInd w:val="0"/>
        <w:snapToGrid w:val="0"/>
        <w:spacing w:line="460" w:lineRule="exact"/>
        <w:jc w:val="both"/>
        <w:rPr>
          <w:rFonts w:eastAsia="標楷體" w:hAnsi="標楷體"/>
          <w:sz w:val="32"/>
          <w:szCs w:val="28"/>
        </w:rPr>
      </w:pPr>
      <w:r w:rsidRPr="00B77CD7">
        <w:rPr>
          <w:rFonts w:ascii="Calibri" w:eastAsia="標楷體" w:hAnsi="Calibri" w:hint="eastAsia"/>
          <w:sz w:val="32"/>
          <w:szCs w:val="28"/>
        </w:rPr>
        <w:t>強化上市後醫療器材安全監督管理</w:t>
      </w:r>
      <w:r>
        <w:rPr>
          <w:rFonts w:ascii="Calibri" w:eastAsia="標楷體" w:hAnsi="Calibri" w:hint="eastAsia"/>
          <w:sz w:val="32"/>
          <w:szCs w:val="28"/>
        </w:rPr>
        <w:t>，</w:t>
      </w:r>
      <w:r w:rsidR="00100014" w:rsidRPr="00100014">
        <w:rPr>
          <w:rFonts w:ascii="Calibri" w:eastAsia="標楷體" w:hAnsi="Calibri" w:hint="eastAsia"/>
          <w:sz w:val="32"/>
          <w:szCs w:val="28"/>
        </w:rPr>
        <w:t>確保市售醫療器材之品質與安全，</w:t>
      </w:r>
      <w:r w:rsidRPr="00B77CD7">
        <w:rPr>
          <w:rFonts w:ascii="Calibri" w:eastAsia="標楷體" w:hAnsi="Calibri" w:hint="eastAsia"/>
          <w:sz w:val="32"/>
          <w:szCs w:val="28"/>
        </w:rPr>
        <w:t>部分特定高風險醫療器材須執行安全監視，</w:t>
      </w:r>
      <w:proofErr w:type="gramStart"/>
      <w:r w:rsidRPr="00B77CD7">
        <w:rPr>
          <w:rFonts w:ascii="Calibri" w:eastAsia="標楷體" w:hAnsi="Calibri" w:hint="eastAsia"/>
          <w:sz w:val="32"/>
          <w:szCs w:val="28"/>
        </w:rPr>
        <w:t>醫</w:t>
      </w:r>
      <w:proofErr w:type="gramEnd"/>
      <w:r w:rsidRPr="00B77CD7">
        <w:rPr>
          <w:rFonts w:ascii="Calibri" w:eastAsia="標楷體" w:hAnsi="Calibri" w:hint="eastAsia"/>
          <w:sz w:val="32"/>
          <w:szCs w:val="28"/>
        </w:rPr>
        <w:t>事機構應予配合</w:t>
      </w:r>
      <w:r w:rsidR="00EF4443">
        <w:rPr>
          <w:rFonts w:ascii="Calibri" w:eastAsia="標楷體" w:hAnsi="Calibri" w:hint="eastAsia"/>
          <w:sz w:val="32"/>
          <w:szCs w:val="28"/>
        </w:rPr>
        <w:t>辦理</w:t>
      </w:r>
      <w:r>
        <w:rPr>
          <w:rFonts w:ascii="Calibri" w:eastAsia="標楷體" w:hAnsi="Calibri" w:hint="eastAsia"/>
          <w:sz w:val="32"/>
          <w:szCs w:val="28"/>
        </w:rPr>
        <w:t>，並賦予業者</w:t>
      </w:r>
      <w:r w:rsidRPr="00B77CD7">
        <w:rPr>
          <w:rFonts w:ascii="Calibri" w:eastAsia="標楷體" w:hAnsi="Calibri" w:hint="eastAsia"/>
          <w:sz w:val="32"/>
          <w:szCs w:val="28"/>
        </w:rPr>
        <w:t>主動監控上市後產品</w:t>
      </w:r>
      <w:r>
        <w:rPr>
          <w:rFonts w:ascii="Calibri" w:eastAsia="標楷體" w:hAnsi="Calibri" w:hint="eastAsia"/>
          <w:sz w:val="32"/>
          <w:szCs w:val="28"/>
        </w:rPr>
        <w:t>之</w:t>
      </w:r>
      <w:r w:rsidRPr="00B77CD7">
        <w:rPr>
          <w:rFonts w:ascii="Calibri" w:eastAsia="標楷體" w:hAnsi="Calibri" w:hint="eastAsia"/>
          <w:sz w:val="32"/>
          <w:szCs w:val="28"/>
        </w:rPr>
        <w:t>風險管理，並進行必要矯正預防措施</w:t>
      </w:r>
      <w:r>
        <w:rPr>
          <w:rFonts w:ascii="Calibri" w:eastAsia="標楷體" w:hAnsi="Calibri" w:hint="eastAsia"/>
          <w:sz w:val="32"/>
          <w:szCs w:val="28"/>
        </w:rPr>
        <w:t>。</w:t>
      </w:r>
      <w:r w:rsidR="00100014" w:rsidRPr="00100014">
        <w:rPr>
          <w:rFonts w:eastAsia="標楷體" w:hAnsi="標楷體" w:hint="eastAsia"/>
          <w:sz w:val="32"/>
          <w:szCs w:val="28"/>
        </w:rPr>
        <w:t>（草案第四十七條</w:t>
      </w:r>
      <w:r>
        <w:rPr>
          <w:rFonts w:eastAsia="標楷體" w:hAnsi="標楷體" w:hint="eastAsia"/>
          <w:sz w:val="32"/>
          <w:szCs w:val="28"/>
        </w:rPr>
        <w:t>、</w:t>
      </w:r>
      <w:r w:rsidR="00100014" w:rsidRPr="00100014">
        <w:rPr>
          <w:rFonts w:eastAsia="標楷體" w:hAnsi="標楷體" w:hint="eastAsia"/>
          <w:sz w:val="32"/>
          <w:szCs w:val="28"/>
        </w:rPr>
        <w:t>第</w:t>
      </w:r>
      <w:r>
        <w:rPr>
          <w:rFonts w:eastAsia="標楷體" w:hAnsi="標楷體" w:hint="eastAsia"/>
          <w:sz w:val="32"/>
          <w:szCs w:val="28"/>
        </w:rPr>
        <w:t>四</w:t>
      </w:r>
      <w:r w:rsidR="00100014" w:rsidRPr="00100014">
        <w:rPr>
          <w:rFonts w:eastAsia="標楷體" w:hAnsi="標楷體" w:hint="eastAsia"/>
          <w:sz w:val="32"/>
          <w:szCs w:val="28"/>
        </w:rPr>
        <w:t>十</w:t>
      </w:r>
      <w:r>
        <w:rPr>
          <w:rFonts w:eastAsia="標楷體" w:hAnsi="標楷體" w:hint="eastAsia"/>
          <w:sz w:val="32"/>
          <w:szCs w:val="28"/>
        </w:rPr>
        <w:t>九</w:t>
      </w:r>
      <w:r w:rsidR="00100014" w:rsidRPr="00100014">
        <w:rPr>
          <w:rFonts w:eastAsia="標楷體" w:hAnsi="標楷體" w:hint="eastAsia"/>
          <w:sz w:val="32"/>
          <w:szCs w:val="28"/>
        </w:rPr>
        <w:t>條）</w:t>
      </w:r>
    </w:p>
    <w:p w:rsidR="004904BF" w:rsidRDefault="00582E7A" w:rsidP="000D7362">
      <w:pPr>
        <w:tabs>
          <w:tab w:val="left" w:pos="3261"/>
          <w:tab w:val="left" w:pos="5954"/>
        </w:tabs>
        <w:adjustRightInd w:val="0"/>
        <w:snapToGrid w:val="0"/>
        <w:spacing w:beforeLines="50" w:before="180" w:line="520" w:lineRule="exact"/>
        <w:jc w:val="both"/>
        <w:rPr>
          <w:rFonts w:eastAsia="標楷體"/>
          <w:b/>
          <w:sz w:val="28"/>
          <w:szCs w:val="28"/>
        </w:rPr>
      </w:pPr>
      <w:r w:rsidRPr="00974A09">
        <w:rPr>
          <w:rFonts w:eastAsia="標楷體" w:hint="eastAsia"/>
          <w:b/>
          <w:sz w:val="28"/>
          <w:szCs w:val="28"/>
        </w:rPr>
        <w:t>新聞資料詢問：</w:t>
      </w:r>
      <w:r w:rsidR="00AA7E1B">
        <w:rPr>
          <w:rFonts w:eastAsia="標楷體" w:hint="eastAsia"/>
          <w:b/>
          <w:sz w:val="28"/>
          <w:szCs w:val="28"/>
        </w:rPr>
        <w:t>黃維生</w:t>
      </w:r>
      <w:r w:rsidR="000D7362">
        <w:rPr>
          <w:rFonts w:eastAsia="標楷體" w:hint="eastAsia"/>
          <w:b/>
          <w:sz w:val="28"/>
          <w:szCs w:val="28"/>
        </w:rPr>
        <w:tab/>
      </w:r>
      <w:r w:rsidRPr="00974A09">
        <w:rPr>
          <w:rFonts w:eastAsia="標楷體" w:hAnsi="標楷體" w:hint="eastAsia"/>
          <w:b/>
          <w:sz w:val="28"/>
          <w:szCs w:val="28"/>
        </w:rPr>
        <w:t>電話：</w:t>
      </w:r>
      <w:r w:rsidR="000D7362">
        <w:rPr>
          <w:rFonts w:eastAsia="標楷體" w:hAnsi="標楷體" w:hint="eastAsia"/>
          <w:b/>
          <w:sz w:val="28"/>
          <w:szCs w:val="28"/>
        </w:rPr>
        <w:t>02-2787-75</w:t>
      </w:r>
      <w:r w:rsidR="00AA7E1B">
        <w:rPr>
          <w:rFonts w:eastAsia="標楷體" w:hAnsi="標楷體" w:hint="eastAsia"/>
          <w:b/>
          <w:sz w:val="28"/>
          <w:szCs w:val="28"/>
        </w:rPr>
        <w:t>03</w:t>
      </w:r>
      <w:r w:rsidR="000D7362">
        <w:rPr>
          <w:rFonts w:eastAsia="標楷體" w:hint="eastAsia"/>
          <w:b/>
          <w:sz w:val="28"/>
          <w:szCs w:val="28"/>
        </w:rPr>
        <w:tab/>
      </w:r>
      <w:r w:rsidRPr="00974A09">
        <w:rPr>
          <w:rFonts w:eastAsia="標楷體" w:hint="eastAsia"/>
          <w:b/>
          <w:sz w:val="28"/>
          <w:szCs w:val="28"/>
        </w:rPr>
        <w:t>手機：</w:t>
      </w:r>
      <w:r w:rsidR="00AA7E1B">
        <w:rPr>
          <w:rFonts w:eastAsia="標楷體" w:hint="eastAsia"/>
          <w:b/>
          <w:sz w:val="28"/>
          <w:szCs w:val="28"/>
        </w:rPr>
        <w:t>0936-300-020</w:t>
      </w:r>
      <w:bookmarkStart w:id="0" w:name="_GoBack"/>
      <w:bookmarkEnd w:id="0"/>
    </w:p>
    <w:p w:rsidR="00A34F56" w:rsidRPr="00A34F56" w:rsidRDefault="00A34F56" w:rsidP="00A34F56">
      <w:pPr>
        <w:adjustRightInd w:val="0"/>
        <w:snapToGrid w:val="0"/>
        <w:spacing w:beforeLines="50" w:before="180" w:line="520" w:lineRule="exact"/>
        <w:jc w:val="both"/>
        <w:rPr>
          <w:rFonts w:eastAsia="標楷體"/>
          <w:sz w:val="20"/>
          <w:szCs w:val="20"/>
        </w:rPr>
      </w:pPr>
    </w:p>
    <w:sectPr w:rsidR="00A34F56" w:rsidRPr="00A34F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2E6" w:rsidRDefault="00EC02E6">
      <w:r>
        <w:separator/>
      </w:r>
    </w:p>
  </w:endnote>
  <w:endnote w:type="continuationSeparator" w:id="0">
    <w:p w:rsidR="00EC02E6" w:rsidRDefault="00EC0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2E6" w:rsidRDefault="00EC02E6">
      <w:r>
        <w:separator/>
      </w:r>
    </w:p>
  </w:footnote>
  <w:footnote w:type="continuationSeparator" w:id="0">
    <w:p w:rsidR="00EC02E6" w:rsidRDefault="00EC0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6557"/>
    <w:multiLevelType w:val="hybridMultilevel"/>
    <w:tmpl w:val="23E6AC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9F42C1"/>
    <w:multiLevelType w:val="hybridMultilevel"/>
    <w:tmpl w:val="5100DCAC"/>
    <w:lvl w:ilvl="0" w:tplc="B0C61CAE">
      <w:start w:val="1"/>
      <w:numFmt w:val="decimal"/>
      <w:lvlText w:val="%1."/>
      <w:lvlJc w:val="left"/>
      <w:pPr>
        <w:tabs>
          <w:tab w:val="num" w:pos="1522"/>
        </w:tabs>
        <w:ind w:left="15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4D4732"/>
    <w:multiLevelType w:val="hybridMultilevel"/>
    <w:tmpl w:val="D2EC5F18"/>
    <w:lvl w:ilvl="0" w:tplc="696858EC">
      <w:start w:val="1"/>
      <w:numFmt w:val="taiwaneseCountingThousand"/>
      <w:lvlText w:val="(%1)"/>
      <w:lvlJc w:val="left"/>
      <w:pPr>
        <w:tabs>
          <w:tab w:val="num" w:pos="680"/>
        </w:tabs>
        <w:ind w:left="680" w:hanging="680"/>
      </w:pPr>
      <w:rPr>
        <w:rFonts w:ascii="標楷體" w:eastAsia="標楷體" w:hAnsi="標楷體" w:hint="default"/>
        <w:b w:val="0"/>
        <w:szCs w:val="28"/>
      </w:rPr>
    </w:lvl>
    <w:lvl w:ilvl="1" w:tplc="AC4A1E26">
      <w:start w:val="1"/>
      <w:numFmt w:val="taiwaneseCountingThousand"/>
      <w:lvlText w:val="（%2）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3">
    <w:nsid w:val="11772B8E"/>
    <w:multiLevelType w:val="hybridMultilevel"/>
    <w:tmpl w:val="A9BACB1A"/>
    <w:lvl w:ilvl="0" w:tplc="B0C61CAE">
      <w:start w:val="1"/>
      <w:numFmt w:val="decimal"/>
      <w:lvlText w:val="%1."/>
      <w:lvlJc w:val="left"/>
      <w:pPr>
        <w:tabs>
          <w:tab w:val="num" w:pos="1522"/>
        </w:tabs>
        <w:ind w:left="15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22"/>
        </w:tabs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02"/>
        </w:tabs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2"/>
        </w:tabs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62"/>
        </w:tabs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42"/>
        </w:tabs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22"/>
        </w:tabs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02"/>
        </w:tabs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82"/>
        </w:tabs>
        <w:ind w:left="5482" w:hanging="480"/>
      </w:pPr>
    </w:lvl>
  </w:abstractNum>
  <w:abstractNum w:abstractNumId="4">
    <w:nsid w:val="16BD0226"/>
    <w:multiLevelType w:val="hybridMultilevel"/>
    <w:tmpl w:val="6644C070"/>
    <w:lvl w:ilvl="0" w:tplc="29AC1C6A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">
    <w:nsid w:val="2CC967EA"/>
    <w:multiLevelType w:val="hybridMultilevel"/>
    <w:tmpl w:val="9DA8CCB2"/>
    <w:lvl w:ilvl="0" w:tplc="324C1C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E9B0E0F"/>
    <w:multiLevelType w:val="hybridMultilevel"/>
    <w:tmpl w:val="73E814BE"/>
    <w:lvl w:ilvl="0" w:tplc="01346B80">
      <w:start w:val="1"/>
      <w:numFmt w:val="taiwaneseCountingThousand"/>
      <w:suff w:val="nothing"/>
      <w:lvlText w:val="（%1）"/>
      <w:lvlJc w:val="left"/>
      <w:pPr>
        <w:ind w:left="114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90" w:hanging="480"/>
      </w:pPr>
    </w:lvl>
    <w:lvl w:ilvl="2" w:tplc="0409001B" w:tentative="1">
      <w:start w:val="1"/>
      <w:numFmt w:val="lowerRoman"/>
      <w:lvlText w:val="%3."/>
      <w:lvlJc w:val="right"/>
      <w:pPr>
        <w:ind w:left="2570" w:hanging="480"/>
      </w:pPr>
    </w:lvl>
    <w:lvl w:ilvl="3" w:tplc="0409000F" w:tentative="1">
      <w:start w:val="1"/>
      <w:numFmt w:val="decimal"/>
      <w:lvlText w:val="%4."/>
      <w:lvlJc w:val="left"/>
      <w:pPr>
        <w:ind w:left="3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0" w:hanging="480"/>
      </w:pPr>
    </w:lvl>
    <w:lvl w:ilvl="5" w:tplc="0409001B" w:tentative="1">
      <w:start w:val="1"/>
      <w:numFmt w:val="lowerRoman"/>
      <w:lvlText w:val="%6."/>
      <w:lvlJc w:val="right"/>
      <w:pPr>
        <w:ind w:left="4010" w:hanging="480"/>
      </w:pPr>
    </w:lvl>
    <w:lvl w:ilvl="6" w:tplc="0409000F" w:tentative="1">
      <w:start w:val="1"/>
      <w:numFmt w:val="decimal"/>
      <w:lvlText w:val="%7."/>
      <w:lvlJc w:val="left"/>
      <w:pPr>
        <w:ind w:left="4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0" w:hanging="480"/>
      </w:pPr>
    </w:lvl>
    <w:lvl w:ilvl="8" w:tplc="0409001B" w:tentative="1">
      <w:start w:val="1"/>
      <w:numFmt w:val="lowerRoman"/>
      <w:lvlText w:val="%9."/>
      <w:lvlJc w:val="right"/>
      <w:pPr>
        <w:ind w:left="5450" w:hanging="480"/>
      </w:pPr>
    </w:lvl>
  </w:abstractNum>
  <w:abstractNum w:abstractNumId="7">
    <w:nsid w:val="58C83AD2"/>
    <w:multiLevelType w:val="hybridMultilevel"/>
    <w:tmpl w:val="79E6F898"/>
    <w:lvl w:ilvl="0" w:tplc="97004A6A">
      <w:start w:val="1"/>
      <w:numFmt w:val="taiwaneseCountingThousand"/>
      <w:lvlText w:val="%1、"/>
      <w:lvlJc w:val="left"/>
      <w:pPr>
        <w:tabs>
          <w:tab w:val="num" w:pos="1048"/>
        </w:tabs>
        <w:ind w:left="104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8">
    <w:nsid w:val="5E511EF7"/>
    <w:multiLevelType w:val="hybridMultilevel"/>
    <w:tmpl w:val="E244C928"/>
    <w:lvl w:ilvl="0" w:tplc="9DF07C6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949"/>
    <w:rsid w:val="00000DB5"/>
    <w:rsid w:val="00000E28"/>
    <w:rsid w:val="00006BD8"/>
    <w:rsid w:val="0001030E"/>
    <w:rsid w:val="00017377"/>
    <w:rsid w:val="000220E4"/>
    <w:rsid w:val="00027F01"/>
    <w:rsid w:val="000321F4"/>
    <w:rsid w:val="000423A4"/>
    <w:rsid w:val="0005227D"/>
    <w:rsid w:val="0005435D"/>
    <w:rsid w:val="0005525B"/>
    <w:rsid w:val="00055CAD"/>
    <w:rsid w:val="00060496"/>
    <w:rsid w:val="00061164"/>
    <w:rsid w:val="00065145"/>
    <w:rsid w:val="00070384"/>
    <w:rsid w:val="00076FD3"/>
    <w:rsid w:val="000770D3"/>
    <w:rsid w:val="00081B14"/>
    <w:rsid w:val="0008548C"/>
    <w:rsid w:val="00086888"/>
    <w:rsid w:val="000873BC"/>
    <w:rsid w:val="00096641"/>
    <w:rsid w:val="000A1B36"/>
    <w:rsid w:val="000A7CA2"/>
    <w:rsid w:val="000B550D"/>
    <w:rsid w:val="000C0B23"/>
    <w:rsid w:val="000C117D"/>
    <w:rsid w:val="000C2438"/>
    <w:rsid w:val="000C3AF0"/>
    <w:rsid w:val="000C5624"/>
    <w:rsid w:val="000D625A"/>
    <w:rsid w:val="000D7362"/>
    <w:rsid w:val="000D7412"/>
    <w:rsid w:val="000E4976"/>
    <w:rsid w:val="000E7712"/>
    <w:rsid w:val="000F6916"/>
    <w:rsid w:val="00100014"/>
    <w:rsid w:val="00106B5F"/>
    <w:rsid w:val="00112DD8"/>
    <w:rsid w:val="0014026B"/>
    <w:rsid w:val="00146426"/>
    <w:rsid w:val="001639C7"/>
    <w:rsid w:val="00170310"/>
    <w:rsid w:val="00171C72"/>
    <w:rsid w:val="00181297"/>
    <w:rsid w:val="001B4AAD"/>
    <w:rsid w:val="001D088A"/>
    <w:rsid w:val="001D1808"/>
    <w:rsid w:val="001D365A"/>
    <w:rsid w:val="001D42D4"/>
    <w:rsid w:val="001D567B"/>
    <w:rsid w:val="001E0489"/>
    <w:rsid w:val="001E34E4"/>
    <w:rsid w:val="001F31DF"/>
    <w:rsid w:val="00200E1D"/>
    <w:rsid w:val="0020447B"/>
    <w:rsid w:val="00207CE7"/>
    <w:rsid w:val="00212985"/>
    <w:rsid w:val="002159D1"/>
    <w:rsid w:val="00226C90"/>
    <w:rsid w:val="00234491"/>
    <w:rsid w:val="00246106"/>
    <w:rsid w:val="00254C31"/>
    <w:rsid w:val="002624ED"/>
    <w:rsid w:val="002726DC"/>
    <w:rsid w:val="002740F8"/>
    <w:rsid w:val="002754D3"/>
    <w:rsid w:val="002756B7"/>
    <w:rsid w:val="00277699"/>
    <w:rsid w:val="00277C38"/>
    <w:rsid w:val="00285217"/>
    <w:rsid w:val="0029097A"/>
    <w:rsid w:val="00291CB6"/>
    <w:rsid w:val="002A5F5E"/>
    <w:rsid w:val="002A6B94"/>
    <w:rsid w:val="002B11A9"/>
    <w:rsid w:val="002B344D"/>
    <w:rsid w:val="002B4FDC"/>
    <w:rsid w:val="002C0009"/>
    <w:rsid w:val="002C25DB"/>
    <w:rsid w:val="002C54EF"/>
    <w:rsid w:val="002C7015"/>
    <w:rsid w:val="002F26FB"/>
    <w:rsid w:val="002F3F7B"/>
    <w:rsid w:val="003151BD"/>
    <w:rsid w:val="003168B2"/>
    <w:rsid w:val="00355F91"/>
    <w:rsid w:val="003613EB"/>
    <w:rsid w:val="00366C3D"/>
    <w:rsid w:val="00372703"/>
    <w:rsid w:val="00373FBE"/>
    <w:rsid w:val="003745BD"/>
    <w:rsid w:val="003754A9"/>
    <w:rsid w:val="003867D2"/>
    <w:rsid w:val="003A14FB"/>
    <w:rsid w:val="003A69AB"/>
    <w:rsid w:val="003D1338"/>
    <w:rsid w:val="003E365B"/>
    <w:rsid w:val="003F206E"/>
    <w:rsid w:val="003F36AC"/>
    <w:rsid w:val="004202F1"/>
    <w:rsid w:val="004243CA"/>
    <w:rsid w:val="004320E1"/>
    <w:rsid w:val="00443BCF"/>
    <w:rsid w:val="00470D47"/>
    <w:rsid w:val="00472D57"/>
    <w:rsid w:val="00487FF2"/>
    <w:rsid w:val="004904BF"/>
    <w:rsid w:val="004953E9"/>
    <w:rsid w:val="004A1AE2"/>
    <w:rsid w:val="004A73E3"/>
    <w:rsid w:val="004B0567"/>
    <w:rsid w:val="004B7D97"/>
    <w:rsid w:val="004D6E07"/>
    <w:rsid w:val="004E30B6"/>
    <w:rsid w:val="004E4394"/>
    <w:rsid w:val="004F167D"/>
    <w:rsid w:val="004F66E7"/>
    <w:rsid w:val="00501EB7"/>
    <w:rsid w:val="005159BF"/>
    <w:rsid w:val="00522843"/>
    <w:rsid w:val="00533AC5"/>
    <w:rsid w:val="00533D8C"/>
    <w:rsid w:val="00541DB5"/>
    <w:rsid w:val="005501D0"/>
    <w:rsid w:val="00552AB0"/>
    <w:rsid w:val="005733CD"/>
    <w:rsid w:val="00582E7A"/>
    <w:rsid w:val="00591EC2"/>
    <w:rsid w:val="00592B8F"/>
    <w:rsid w:val="00597CA7"/>
    <w:rsid w:val="005A72A3"/>
    <w:rsid w:val="005B7650"/>
    <w:rsid w:val="005C254B"/>
    <w:rsid w:val="005C2DB3"/>
    <w:rsid w:val="005C7D31"/>
    <w:rsid w:val="005D1825"/>
    <w:rsid w:val="005D37C1"/>
    <w:rsid w:val="00623BA0"/>
    <w:rsid w:val="006320BD"/>
    <w:rsid w:val="00643509"/>
    <w:rsid w:val="00643583"/>
    <w:rsid w:val="006442E0"/>
    <w:rsid w:val="00644FE9"/>
    <w:rsid w:val="006464EA"/>
    <w:rsid w:val="0064712F"/>
    <w:rsid w:val="0065652E"/>
    <w:rsid w:val="00657C9E"/>
    <w:rsid w:val="00662ADA"/>
    <w:rsid w:val="0067619E"/>
    <w:rsid w:val="0067726B"/>
    <w:rsid w:val="00687962"/>
    <w:rsid w:val="00693A2F"/>
    <w:rsid w:val="0069422D"/>
    <w:rsid w:val="006B43BB"/>
    <w:rsid w:val="006D78DB"/>
    <w:rsid w:val="006F71EA"/>
    <w:rsid w:val="0070624E"/>
    <w:rsid w:val="00721EF8"/>
    <w:rsid w:val="00730251"/>
    <w:rsid w:val="007311DC"/>
    <w:rsid w:val="007333D7"/>
    <w:rsid w:val="0073774B"/>
    <w:rsid w:val="00737957"/>
    <w:rsid w:val="00755BBC"/>
    <w:rsid w:val="007B504E"/>
    <w:rsid w:val="007C127C"/>
    <w:rsid w:val="007C7AA8"/>
    <w:rsid w:val="007D1FBF"/>
    <w:rsid w:val="007E3949"/>
    <w:rsid w:val="007F3ACF"/>
    <w:rsid w:val="007F6882"/>
    <w:rsid w:val="007F6BBF"/>
    <w:rsid w:val="00806C2B"/>
    <w:rsid w:val="008071D2"/>
    <w:rsid w:val="00810393"/>
    <w:rsid w:val="008176C9"/>
    <w:rsid w:val="00822D1E"/>
    <w:rsid w:val="008236B0"/>
    <w:rsid w:val="00824B17"/>
    <w:rsid w:val="008346EE"/>
    <w:rsid w:val="00840137"/>
    <w:rsid w:val="00842084"/>
    <w:rsid w:val="0085285B"/>
    <w:rsid w:val="008542DC"/>
    <w:rsid w:val="0086479C"/>
    <w:rsid w:val="00867924"/>
    <w:rsid w:val="0086799B"/>
    <w:rsid w:val="00872DC6"/>
    <w:rsid w:val="008733BE"/>
    <w:rsid w:val="008818E7"/>
    <w:rsid w:val="00894AEF"/>
    <w:rsid w:val="008A09E6"/>
    <w:rsid w:val="008A10C0"/>
    <w:rsid w:val="008A24B5"/>
    <w:rsid w:val="008B2085"/>
    <w:rsid w:val="008B644A"/>
    <w:rsid w:val="008C3E83"/>
    <w:rsid w:val="008D08C0"/>
    <w:rsid w:val="008D3801"/>
    <w:rsid w:val="008D442F"/>
    <w:rsid w:val="008E2986"/>
    <w:rsid w:val="008E2C31"/>
    <w:rsid w:val="008E39F9"/>
    <w:rsid w:val="008E3C59"/>
    <w:rsid w:val="008E5322"/>
    <w:rsid w:val="008E6825"/>
    <w:rsid w:val="008F5464"/>
    <w:rsid w:val="0090626F"/>
    <w:rsid w:val="00910FAE"/>
    <w:rsid w:val="00913841"/>
    <w:rsid w:val="00923F2D"/>
    <w:rsid w:val="00926E75"/>
    <w:rsid w:val="0093719A"/>
    <w:rsid w:val="00941DB3"/>
    <w:rsid w:val="009525AF"/>
    <w:rsid w:val="009646BC"/>
    <w:rsid w:val="00970643"/>
    <w:rsid w:val="00971BAC"/>
    <w:rsid w:val="00974A09"/>
    <w:rsid w:val="00993016"/>
    <w:rsid w:val="009A1107"/>
    <w:rsid w:val="009A3BB4"/>
    <w:rsid w:val="009E6EC9"/>
    <w:rsid w:val="00A01022"/>
    <w:rsid w:val="00A05791"/>
    <w:rsid w:val="00A32A04"/>
    <w:rsid w:val="00A342DF"/>
    <w:rsid w:val="00A34F56"/>
    <w:rsid w:val="00A3662B"/>
    <w:rsid w:val="00A446EE"/>
    <w:rsid w:val="00A5193F"/>
    <w:rsid w:val="00A55662"/>
    <w:rsid w:val="00A55E8C"/>
    <w:rsid w:val="00A74D9D"/>
    <w:rsid w:val="00A90253"/>
    <w:rsid w:val="00A908BD"/>
    <w:rsid w:val="00AA0EDC"/>
    <w:rsid w:val="00AA5FEA"/>
    <w:rsid w:val="00AA6B75"/>
    <w:rsid w:val="00AA7E1B"/>
    <w:rsid w:val="00AC6686"/>
    <w:rsid w:val="00AC693F"/>
    <w:rsid w:val="00AD60F7"/>
    <w:rsid w:val="00AF25A5"/>
    <w:rsid w:val="00AF3428"/>
    <w:rsid w:val="00B0545D"/>
    <w:rsid w:val="00B05B73"/>
    <w:rsid w:val="00B166F5"/>
    <w:rsid w:val="00B3152D"/>
    <w:rsid w:val="00B31EBA"/>
    <w:rsid w:val="00B37A37"/>
    <w:rsid w:val="00B37EDB"/>
    <w:rsid w:val="00B431B2"/>
    <w:rsid w:val="00B43AFB"/>
    <w:rsid w:val="00B5481E"/>
    <w:rsid w:val="00B61F44"/>
    <w:rsid w:val="00B77CD7"/>
    <w:rsid w:val="00B858BB"/>
    <w:rsid w:val="00B90871"/>
    <w:rsid w:val="00B90D17"/>
    <w:rsid w:val="00B91B8E"/>
    <w:rsid w:val="00B91E5C"/>
    <w:rsid w:val="00B95A9D"/>
    <w:rsid w:val="00B96D2C"/>
    <w:rsid w:val="00BA3132"/>
    <w:rsid w:val="00BA5714"/>
    <w:rsid w:val="00BB1C8F"/>
    <w:rsid w:val="00BB27BF"/>
    <w:rsid w:val="00BC4150"/>
    <w:rsid w:val="00BC68AE"/>
    <w:rsid w:val="00BD23A6"/>
    <w:rsid w:val="00BD2A5D"/>
    <w:rsid w:val="00C04C38"/>
    <w:rsid w:val="00C1021F"/>
    <w:rsid w:val="00C12BC5"/>
    <w:rsid w:val="00C17D03"/>
    <w:rsid w:val="00C22F1E"/>
    <w:rsid w:val="00C25343"/>
    <w:rsid w:val="00C36A48"/>
    <w:rsid w:val="00C552F2"/>
    <w:rsid w:val="00C643A6"/>
    <w:rsid w:val="00C7131A"/>
    <w:rsid w:val="00C75C1D"/>
    <w:rsid w:val="00C90494"/>
    <w:rsid w:val="00C962A5"/>
    <w:rsid w:val="00CB1C9D"/>
    <w:rsid w:val="00CB4CBF"/>
    <w:rsid w:val="00CC68F7"/>
    <w:rsid w:val="00CD16A0"/>
    <w:rsid w:val="00CD2520"/>
    <w:rsid w:val="00CD3C34"/>
    <w:rsid w:val="00CD40D7"/>
    <w:rsid w:val="00CD536E"/>
    <w:rsid w:val="00CD5BF9"/>
    <w:rsid w:val="00CE727B"/>
    <w:rsid w:val="00CE7998"/>
    <w:rsid w:val="00CF2204"/>
    <w:rsid w:val="00CF4BEF"/>
    <w:rsid w:val="00D12473"/>
    <w:rsid w:val="00D22E95"/>
    <w:rsid w:val="00D24F36"/>
    <w:rsid w:val="00D32801"/>
    <w:rsid w:val="00D34862"/>
    <w:rsid w:val="00D34B4C"/>
    <w:rsid w:val="00D35387"/>
    <w:rsid w:val="00D408F4"/>
    <w:rsid w:val="00D4779A"/>
    <w:rsid w:val="00D56B52"/>
    <w:rsid w:val="00D638BA"/>
    <w:rsid w:val="00D733D2"/>
    <w:rsid w:val="00D92A2A"/>
    <w:rsid w:val="00D94478"/>
    <w:rsid w:val="00DA03D3"/>
    <w:rsid w:val="00DA3C35"/>
    <w:rsid w:val="00DA4C7E"/>
    <w:rsid w:val="00DD7BC1"/>
    <w:rsid w:val="00DE4050"/>
    <w:rsid w:val="00E10848"/>
    <w:rsid w:val="00E1546A"/>
    <w:rsid w:val="00E31E8E"/>
    <w:rsid w:val="00E32C9C"/>
    <w:rsid w:val="00E353B0"/>
    <w:rsid w:val="00E403B3"/>
    <w:rsid w:val="00E42196"/>
    <w:rsid w:val="00E453B3"/>
    <w:rsid w:val="00E64BAE"/>
    <w:rsid w:val="00E930A6"/>
    <w:rsid w:val="00E965E8"/>
    <w:rsid w:val="00EA5A1F"/>
    <w:rsid w:val="00EC02E6"/>
    <w:rsid w:val="00ED5392"/>
    <w:rsid w:val="00EE4488"/>
    <w:rsid w:val="00EE555D"/>
    <w:rsid w:val="00EF21D9"/>
    <w:rsid w:val="00EF4443"/>
    <w:rsid w:val="00EF44E1"/>
    <w:rsid w:val="00EF5AD1"/>
    <w:rsid w:val="00F01BC1"/>
    <w:rsid w:val="00F02873"/>
    <w:rsid w:val="00F02FF0"/>
    <w:rsid w:val="00F04C19"/>
    <w:rsid w:val="00F113CB"/>
    <w:rsid w:val="00F158E4"/>
    <w:rsid w:val="00F17A02"/>
    <w:rsid w:val="00F26E84"/>
    <w:rsid w:val="00F27EDD"/>
    <w:rsid w:val="00F3459F"/>
    <w:rsid w:val="00F45CD1"/>
    <w:rsid w:val="00F636AA"/>
    <w:rsid w:val="00F70DEC"/>
    <w:rsid w:val="00F76A1B"/>
    <w:rsid w:val="00F82433"/>
    <w:rsid w:val="00FA1230"/>
    <w:rsid w:val="00FC4511"/>
    <w:rsid w:val="00FC63D8"/>
    <w:rsid w:val="00FC6ED8"/>
    <w:rsid w:val="00FC7CBC"/>
    <w:rsid w:val="00FD010E"/>
    <w:rsid w:val="00FE03DF"/>
    <w:rsid w:val="00FE26DA"/>
    <w:rsid w:val="00FF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394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076FD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3">
    <w:name w:val="header"/>
    <w:basedOn w:val="a"/>
    <w:link w:val="a4"/>
    <w:rsid w:val="002159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rsid w:val="002159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2159D1"/>
  </w:style>
  <w:style w:type="paragraph" w:styleId="a8">
    <w:name w:val="Balloon Text"/>
    <w:basedOn w:val="a"/>
    <w:semiHidden/>
    <w:rsid w:val="00DA03D3"/>
    <w:rPr>
      <w:rFonts w:ascii="Arial" w:hAnsi="Arial"/>
      <w:sz w:val="18"/>
      <w:szCs w:val="18"/>
    </w:rPr>
  </w:style>
  <w:style w:type="character" w:styleId="a9">
    <w:name w:val="Hyperlink"/>
    <w:rsid w:val="00BC4150"/>
    <w:rPr>
      <w:color w:val="0000FF"/>
      <w:u w:val="single"/>
    </w:rPr>
  </w:style>
  <w:style w:type="paragraph" w:styleId="Web">
    <w:name w:val="Normal (Web)"/>
    <w:basedOn w:val="a"/>
    <w:uiPriority w:val="99"/>
    <w:rsid w:val="00582E7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a4">
    <w:name w:val="頁首 字元"/>
    <w:basedOn w:val="a0"/>
    <w:link w:val="a3"/>
    <w:rsid w:val="003867D2"/>
    <w:rPr>
      <w:kern w:val="2"/>
    </w:rPr>
  </w:style>
  <w:style w:type="character" w:customStyle="1" w:styleId="a6">
    <w:name w:val="頁尾 字元"/>
    <w:basedOn w:val="a0"/>
    <w:link w:val="a5"/>
    <w:rsid w:val="00923F2D"/>
    <w:rPr>
      <w:kern w:val="2"/>
    </w:rPr>
  </w:style>
  <w:style w:type="table" w:styleId="aa">
    <w:name w:val="Table Grid"/>
    <w:basedOn w:val="a1"/>
    <w:rsid w:val="008E3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910FA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394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076FD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3">
    <w:name w:val="header"/>
    <w:basedOn w:val="a"/>
    <w:link w:val="a4"/>
    <w:rsid w:val="002159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rsid w:val="002159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2159D1"/>
  </w:style>
  <w:style w:type="paragraph" w:styleId="a8">
    <w:name w:val="Balloon Text"/>
    <w:basedOn w:val="a"/>
    <w:semiHidden/>
    <w:rsid w:val="00DA03D3"/>
    <w:rPr>
      <w:rFonts w:ascii="Arial" w:hAnsi="Arial"/>
      <w:sz w:val="18"/>
      <w:szCs w:val="18"/>
    </w:rPr>
  </w:style>
  <w:style w:type="character" w:styleId="a9">
    <w:name w:val="Hyperlink"/>
    <w:rsid w:val="00BC4150"/>
    <w:rPr>
      <w:color w:val="0000FF"/>
      <w:u w:val="single"/>
    </w:rPr>
  </w:style>
  <w:style w:type="paragraph" w:styleId="Web">
    <w:name w:val="Normal (Web)"/>
    <w:basedOn w:val="a"/>
    <w:uiPriority w:val="99"/>
    <w:rsid w:val="00582E7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a4">
    <w:name w:val="頁首 字元"/>
    <w:basedOn w:val="a0"/>
    <w:link w:val="a3"/>
    <w:rsid w:val="003867D2"/>
    <w:rPr>
      <w:kern w:val="2"/>
    </w:rPr>
  </w:style>
  <w:style w:type="character" w:customStyle="1" w:styleId="a6">
    <w:name w:val="頁尾 字元"/>
    <w:basedOn w:val="a0"/>
    <w:link w:val="a5"/>
    <w:rsid w:val="00923F2D"/>
    <w:rPr>
      <w:kern w:val="2"/>
    </w:rPr>
  </w:style>
  <w:style w:type="table" w:styleId="aa">
    <w:name w:val="Table Grid"/>
    <w:basedOn w:val="a1"/>
    <w:rsid w:val="008E3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910FA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0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820AC-B58B-4F19-A636-A2FED318D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121</Words>
  <Characters>692</Characters>
  <Application>Microsoft Office Word</Application>
  <DocSecurity>0</DocSecurity>
  <Lines>5</Lines>
  <Paragraphs>1</Paragraphs>
  <ScaleCrop>false</ScaleCrop>
  <Company>bfda</Company>
  <LinksUpToDate>false</LinksUpToDate>
  <CharactersWithSpaces>812</CharactersWithSpaces>
  <SharedDoc>false</SharedDoc>
  <HLinks>
    <vt:vector size="24" baseType="variant">
      <vt:variant>
        <vt:i4>3604556</vt:i4>
      </vt:variant>
      <vt:variant>
        <vt:i4>9</vt:i4>
      </vt:variant>
      <vt:variant>
        <vt:i4>0</vt:i4>
      </vt:variant>
      <vt:variant>
        <vt:i4>5</vt:i4>
      </vt:variant>
      <vt:variant>
        <vt:lpwstr>mailto:prnews@fda.gov.tw</vt:lpwstr>
      </vt:variant>
      <vt:variant>
        <vt:lpwstr/>
      </vt:variant>
      <vt:variant>
        <vt:i4>3539012</vt:i4>
      </vt:variant>
      <vt:variant>
        <vt:i4>6</vt:i4>
      </vt:variant>
      <vt:variant>
        <vt:i4>0</vt:i4>
      </vt:variant>
      <vt:variant>
        <vt:i4>5</vt:i4>
      </vt:variant>
      <vt:variant>
        <vt:lpwstr>mailto:prnews@mohw.gov.tw</vt:lpwstr>
      </vt:variant>
      <vt:variant>
        <vt:lpwstr/>
      </vt:variant>
      <vt:variant>
        <vt:i4>3539012</vt:i4>
      </vt:variant>
      <vt:variant>
        <vt:i4>3</vt:i4>
      </vt:variant>
      <vt:variant>
        <vt:i4>0</vt:i4>
      </vt:variant>
      <vt:variant>
        <vt:i4>5</vt:i4>
      </vt:variant>
      <vt:variant>
        <vt:lpwstr>mailto:prnews@mohw.gov.tw</vt:lpwstr>
      </vt:variant>
      <vt:variant>
        <vt:lpwstr/>
      </vt:variant>
      <vt:variant>
        <vt:i4>3604556</vt:i4>
      </vt:variant>
      <vt:variant>
        <vt:i4>0</vt:i4>
      </vt:variant>
      <vt:variant>
        <vt:i4>0</vt:i4>
      </vt:variant>
      <vt:variant>
        <vt:i4>5</vt:i4>
      </vt:variant>
      <vt:variant>
        <vt:lpwstr>mailto:prnews@fda.gov.tw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行政院衛生署食品藥物管理局物品庫房消耗品領用原則</dc:title>
  <dc:creator>嚴憶萍</dc:creator>
  <cp:lastModifiedBy>1020會後修正</cp:lastModifiedBy>
  <cp:revision>16</cp:revision>
  <cp:lastPrinted>2017-12-12T06:51:00Z</cp:lastPrinted>
  <dcterms:created xsi:type="dcterms:W3CDTF">2017-09-19T00:55:00Z</dcterms:created>
  <dcterms:modified xsi:type="dcterms:W3CDTF">2017-12-13T06:51:00Z</dcterms:modified>
</cp:coreProperties>
</file>