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665" w:rsidRPr="0054498A" w:rsidRDefault="00D66665" w:rsidP="00D66665">
      <w:pPr>
        <w:adjustRightInd w:val="0"/>
        <w:snapToGrid w:val="0"/>
        <w:spacing w:line="600" w:lineRule="exact"/>
        <w:jc w:val="right"/>
        <w:rPr>
          <w:rFonts w:ascii="標楷體" w:eastAsia="標楷體" w:hAnsi="標楷體"/>
          <w:sz w:val="32"/>
          <w:szCs w:val="32"/>
        </w:rPr>
      </w:pPr>
      <w:r w:rsidRPr="0054498A">
        <w:rPr>
          <w:rFonts w:ascii="標楷體" w:eastAsia="標楷體" w:hAnsi="標楷體" w:hint="eastAsia"/>
          <w:sz w:val="32"/>
          <w:szCs w:val="32"/>
        </w:rPr>
        <w:t>（報二 經濟部新聞稿）</w:t>
      </w:r>
    </w:p>
    <w:p w:rsidR="0016669D" w:rsidRPr="0054498A" w:rsidRDefault="0016669D" w:rsidP="0016669D">
      <w:pPr>
        <w:adjustRightInd w:val="0"/>
        <w:snapToGrid w:val="0"/>
        <w:spacing w:line="600" w:lineRule="exact"/>
        <w:jc w:val="both"/>
        <w:rPr>
          <w:rFonts w:ascii="標楷體" w:eastAsia="標楷體" w:hAnsi="標楷體"/>
          <w:sz w:val="32"/>
          <w:szCs w:val="32"/>
        </w:rPr>
      </w:pPr>
      <w:r w:rsidRPr="0054498A">
        <w:rPr>
          <w:rFonts w:ascii="標楷體" w:eastAsia="標楷體" w:hAnsi="標楷體"/>
          <w:sz w:val="32"/>
          <w:szCs w:val="32"/>
        </w:rPr>
        <w:t>第</w:t>
      </w:r>
      <w:r w:rsidRPr="0054498A">
        <w:rPr>
          <w:rFonts w:ascii="標楷體" w:eastAsia="標楷體" w:hAnsi="標楷體" w:hint="eastAsia"/>
          <w:sz w:val="32"/>
          <w:szCs w:val="32"/>
        </w:rPr>
        <w:t>3585</w:t>
      </w:r>
      <w:r w:rsidRPr="0054498A">
        <w:rPr>
          <w:rFonts w:ascii="標楷體" w:eastAsia="標楷體" w:hAnsi="標楷體"/>
          <w:sz w:val="32"/>
          <w:szCs w:val="32"/>
        </w:rPr>
        <w:t>次院會</w:t>
      </w:r>
      <w:r w:rsidR="00CB5AC4" w:rsidRPr="0054498A">
        <w:rPr>
          <w:rFonts w:ascii="標楷體" w:eastAsia="標楷體" w:hAnsi="標楷體" w:hint="eastAsia"/>
          <w:sz w:val="32"/>
          <w:szCs w:val="32"/>
        </w:rPr>
        <w:t xml:space="preserve">                 </w:t>
      </w:r>
      <w:r w:rsidRPr="0054498A">
        <w:rPr>
          <w:rFonts w:ascii="標楷體" w:eastAsia="標楷體" w:hAnsi="標楷體" w:hint="eastAsia"/>
          <w:sz w:val="32"/>
          <w:szCs w:val="32"/>
        </w:rPr>
        <w:t xml:space="preserve">  </w:t>
      </w:r>
      <w:r w:rsidR="0054498A" w:rsidRPr="0054498A">
        <w:rPr>
          <w:rFonts w:ascii="標楷體" w:eastAsia="標楷體" w:hAnsi="標楷體" w:hint="eastAsia"/>
          <w:sz w:val="32"/>
          <w:szCs w:val="32"/>
        </w:rPr>
        <w:t xml:space="preserve">      </w:t>
      </w:r>
      <w:r w:rsidRPr="0054498A">
        <w:rPr>
          <w:rFonts w:ascii="標楷體" w:eastAsia="標楷體" w:hAnsi="標楷體"/>
          <w:sz w:val="32"/>
          <w:szCs w:val="32"/>
        </w:rPr>
        <w:t>10</w:t>
      </w:r>
      <w:r w:rsidRPr="0054498A">
        <w:rPr>
          <w:rFonts w:ascii="標楷體" w:eastAsia="標楷體" w:hAnsi="標楷體" w:hint="eastAsia"/>
          <w:sz w:val="32"/>
          <w:szCs w:val="32"/>
        </w:rPr>
        <w:t>7</w:t>
      </w:r>
      <w:r w:rsidRPr="0054498A">
        <w:rPr>
          <w:rFonts w:ascii="標楷體" w:eastAsia="標楷體" w:hAnsi="標楷體"/>
          <w:sz w:val="32"/>
          <w:szCs w:val="32"/>
        </w:rPr>
        <w:t>年</w:t>
      </w:r>
      <w:r w:rsidRPr="0054498A">
        <w:rPr>
          <w:rFonts w:ascii="標楷體" w:eastAsia="標楷體" w:hAnsi="標楷體" w:hint="eastAsia"/>
          <w:sz w:val="32"/>
          <w:szCs w:val="32"/>
        </w:rPr>
        <w:t>1</w:t>
      </w:r>
      <w:r w:rsidRPr="0054498A">
        <w:rPr>
          <w:rFonts w:ascii="標楷體" w:eastAsia="標楷體" w:hAnsi="標楷體"/>
          <w:sz w:val="32"/>
          <w:szCs w:val="32"/>
        </w:rPr>
        <w:t>月</w:t>
      </w:r>
      <w:r w:rsidRPr="0054498A">
        <w:rPr>
          <w:rFonts w:ascii="標楷體" w:eastAsia="標楷體" w:hAnsi="標楷體" w:hint="eastAsia"/>
          <w:sz w:val="32"/>
          <w:szCs w:val="32"/>
        </w:rPr>
        <w:t>18</w:t>
      </w:r>
      <w:r w:rsidRPr="0054498A">
        <w:rPr>
          <w:rFonts w:ascii="標楷體" w:eastAsia="標楷體" w:hAnsi="標楷體"/>
          <w:sz w:val="32"/>
          <w:szCs w:val="32"/>
        </w:rPr>
        <w:t>日</w:t>
      </w:r>
    </w:p>
    <w:p w:rsidR="00CB5AC4" w:rsidRDefault="00CB5AC4" w:rsidP="0016669D">
      <w:pPr>
        <w:adjustRightInd w:val="0"/>
        <w:snapToGrid w:val="0"/>
        <w:jc w:val="center"/>
        <w:rPr>
          <w:rFonts w:ascii="標楷體" w:eastAsia="標楷體" w:hAnsi="標楷體"/>
          <w:b/>
          <w:sz w:val="36"/>
          <w:szCs w:val="36"/>
        </w:rPr>
      </w:pPr>
    </w:p>
    <w:p w:rsidR="00996C0C" w:rsidRDefault="0016669D" w:rsidP="00996C0C">
      <w:pPr>
        <w:adjustRightInd w:val="0"/>
        <w:snapToGrid w:val="0"/>
        <w:jc w:val="center"/>
        <w:rPr>
          <w:rFonts w:ascii="標楷體" w:eastAsia="標楷體" w:hAnsi="標楷體"/>
          <w:b/>
          <w:sz w:val="36"/>
          <w:szCs w:val="36"/>
        </w:rPr>
      </w:pPr>
      <w:r w:rsidRPr="0054498A">
        <w:rPr>
          <w:rFonts w:ascii="標楷體" w:eastAsia="標楷體" w:hAnsi="標楷體" w:hint="eastAsia"/>
          <w:b/>
          <w:sz w:val="36"/>
          <w:szCs w:val="36"/>
        </w:rPr>
        <w:t>「</w:t>
      </w:r>
      <w:r w:rsidRPr="0054498A">
        <w:rPr>
          <w:rFonts w:ascii="標楷體" w:eastAsia="標楷體" w:hAnsi="標楷體"/>
          <w:b/>
          <w:sz w:val="36"/>
          <w:szCs w:val="36"/>
        </w:rPr>
        <w:t>綠能科技產業創新</w:t>
      </w:r>
      <w:r w:rsidRPr="0054498A">
        <w:rPr>
          <w:rFonts w:ascii="標楷體" w:eastAsia="標楷體" w:hAnsi="標楷體" w:hint="eastAsia"/>
          <w:b/>
          <w:sz w:val="36"/>
          <w:szCs w:val="36"/>
        </w:rPr>
        <w:t>推動方案進度及成果報告」</w:t>
      </w:r>
    </w:p>
    <w:p w:rsidR="0016669D" w:rsidRPr="0054498A" w:rsidRDefault="00F8314D" w:rsidP="00996C0C">
      <w:pPr>
        <w:adjustRightInd w:val="0"/>
        <w:snapToGrid w:val="0"/>
        <w:jc w:val="center"/>
        <w:rPr>
          <w:rFonts w:ascii="標楷體" w:eastAsia="標楷體" w:hAnsi="標楷體"/>
          <w:b/>
          <w:sz w:val="36"/>
          <w:szCs w:val="36"/>
        </w:rPr>
      </w:pPr>
      <w:r w:rsidRPr="0054498A">
        <w:rPr>
          <w:rFonts w:ascii="標楷體" w:eastAsia="標楷體" w:hAnsi="標楷體" w:hint="eastAsia"/>
          <w:b/>
          <w:sz w:val="36"/>
          <w:szCs w:val="36"/>
        </w:rPr>
        <w:t>新聞稿</w:t>
      </w:r>
      <w:r w:rsidR="0016669D" w:rsidRPr="0054498A">
        <w:rPr>
          <w:rFonts w:ascii="標楷體" w:eastAsia="標楷體" w:hAnsi="標楷體"/>
          <w:b/>
          <w:color w:val="000000" w:themeColor="text1"/>
          <w:sz w:val="36"/>
          <w:szCs w:val="36"/>
          <w:shd w:val="clear" w:color="auto" w:fill="FFFFFF"/>
        </w:rPr>
        <w:br/>
      </w:r>
    </w:p>
    <w:p w:rsidR="00837AD2" w:rsidRPr="00824E8C" w:rsidRDefault="00CE089B" w:rsidP="00824E8C">
      <w:pPr>
        <w:adjustRightInd w:val="0"/>
        <w:snapToGrid w:val="0"/>
        <w:jc w:val="both"/>
        <w:rPr>
          <w:rFonts w:ascii="標楷體" w:eastAsia="標楷體" w:hAnsi="標楷體"/>
          <w:color w:val="000000" w:themeColor="text1"/>
          <w:sz w:val="32"/>
          <w:szCs w:val="32"/>
          <w:shd w:val="clear" w:color="auto" w:fill="FFFFFF"/>
        </w:rPr>
      </w:pPr>
      <w:r w:rsidRPr="00824E8C">
        <w:rPr>
          <w:rFonts w:ascii="標楷體" w:eastAsia="標楷體" w:hAnsi="標楷體"/>
          <w:color w:val="000000" w:themeColor="text1"/>
          <w:sz w:val="32"/>
          <w:szCs w:val="32"/>
          <w:shd w:val="clear" w:color="auto" w:fill="FFFFFF"/>
        </w:rPr>
        <w:t>行政院長</w:t>
      </w:r>
      <w:r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賴清德</w:t>
      </w:r>
      <w:r w:rsidRPr="00824E8C">
        <w:rPr>
          <w:rFonts w:ascii="標楷體" w:eastAsia="標楷體" w:hAnsi="標楷體"/>
          <w:color w:val="000000" w:themeColor="text1"/>
          <w:sz w:val="32"/>
          <w:szCs w:val="32"/>
          <w:shd w:val="clear" w:color="auto" w:fill="FFFFFF"/>
        </w:rPr>
        <w:t>今（</w:t>
      </w:r>
      <w:r w:rsidR="00CA630F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18</w:t>
      </w:r>
      <w:r w:rsidRPr="00824E8C">
        <w:rPr>
          <w:rFonts w:ascii="標楷體" w:eastAsia="標楷體" w:hAnsi="標楷體"/>
          <w:color w:val="000000" w:themeColor="text1"/>
          <w:sz w:val="32"/>
          <w:szCs w:val="32"/>
          <w:shd w:val="clear" w:color="auto" w:fill="FFFFFF"/>
        </w:rPr>
        <w:t>）日</w:t>
      </w:r>
      <w:r w:rsidR="00CA630F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院會</w:t>
      </w:r>
      <w:r w:rsidRPr="00824E8C">
        <w:rPr>
          <w:rFonts w:ascii="標楷體" w:eastAsia="標楷體" w:hAnsi="標楷體"/>
          <w:color w:val="000000" w:themeColor="text1"/>
          <w:sz w:val="32"/>
          <w:szCs w:val="32"/>
          <w:shd w:val="clear" w:color="auto" w:fill="FFFFFF"/>
        </w:rPr>
        <w:t>聽取經濟部「綠能科技產業創新推動方案</w:t>
      </w:r>
      <w:r w:rsidR="00CA630F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進度及成果</w:t>
      </w:r>
      <w:r w:rsidRPr="00824E8C">
        <w:rPr>
          <w:rFonts w:ascii="標楷體" w:eastAsia="標楷體" w:hAnsi="標楷體"/>
          <w:color w:val="000000" w:themeColor="text1"/>
          <w:sz w:val="32"/>
          <w:szCs w:val="32"/>
          <w:shd w:val="clear" w:color="auto" w:fill="FFFFFF"/>
        </w:rPr>
        <w:t>」報告</w:t>
      </w:r>
      <w:r w:rsidR="001221F7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。</w:t>
      </w:r>
      <w:r w:rsidRPr="00824E8C">
        <w:rPr>
          <w:rFonts w:ascii="標楷體" w:eastAsia="標楷體" w:hAnsi="標楷體"/>
          <w:color w:val="000000" w:themeColor="text1"/>
          <w:sz w:val="32"/>
          <w:szCs w:val="32"/>
        </w:rPr>
        <w:br/>
      </w:r>
    </w:p>
    <w:p w:rsidR="003F7323" w:rsidRPr="00824E8C" w:rsidRDefault="00837AD2" w:rsidP="00824E8C">
      <w:pPr>
        <w:adjustRightInd w:val="0"/>
        <w:snapToGrid w:val="0"/>
        <w:jc w:val="both"/>
        <w:rPr>
          <w:rFonts w:ascii="標楷體" w:eastAsia="標楷體" w:hAnsi="標楷體"/>
          <w:color w:val="000000" w:themeColor="text1"/>
          <w:sz w:val="32"/>
          <w:szCs w:val="32"/>
          <w:shd w:val="clear" w:color="auto" w:fill="FFFFFF"/>
        </w:rPr>
      </w:pPr>
      <w:r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經濟部表示，</w:t>
      </w:r>
      <w:r w:rsidR="003F7323" w:rsidRPr="00824E8C">
        <w:rPr>
          <w:rFonts w:ascii="標楷體" w:eastAsia="標楷體" w:hAnsi="標楷體"/>
          <w:color w:val="000000" w:themeColor="text1"/>
          <w:sz w:val="32"/>
          <w:szCs w:val="32"/>
          <w:shd w:val="clear" w:color="auto" w:fill="FFFFFF"/>
        </w:rPr>
        <w:t>「綠能科技產業創新推動方案」</w:t>
      </w:r>
      <w:r w:rsidR="003F7323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之規劃</w:t>
      </w:r>
      <w:r w:rsidR="003F7323" w:rsidRPr="00824E8C">
        <w:rPr>
          <w:rFonts w:ascii="標楷體" w:eastAsia="標楷體" w:hAnsi="標楷體"/>
          <w:color w:val="000000" w:themeColor="text1"/>
          <w:sz w:val="32"/>
          <w:szCs w:val="32"/>
          <w:shd w:val="clear" w:color="auto" w:fill="FFFFFF"/>
        </w:rPr>
        <w:t>，</w:t>
      </w:r>
      <w:r w:rsidR="003F7323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以「綠能推動」、「產業發展」與「科技創新」為方案之三大願景，扣合「創能、儲能、節能與系統整合」四大主軸</w:t>
      </w:r>
      <w:r w:rsidR="00ED5177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。其</w:t>
      </w:r>
      <w:r w:rsidR="003F7323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目標</w:t>
      </w:r>
      <w:r w:rsidR="00ED5177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為</w:t>
      </w:r>
      <w:r w:rsidR="003F7323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114年達到太陽光電裝置容量20GW、風力發電4.2GW之布建</w:t>
      </w:r>
      <w:r w:rsidR="006A7187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與</w:t>
      </w:r>
      <w:r w:rsidR="00ED5177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113年</w:t>
      </w:r>
      <w:r w:rsidR="006A7187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達到</w:t>
      </w:r>
      <w:r w:rsidR="003F7323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300萬戶</w:t>
      </w:r>
      <w:r w:rsidR="006A7187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智慧電表之裝設</w:t>
      </w:r>
      <w:r w:rsidR="00FC1B18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，以落實政府能源轉型目標</w:t>
      </w:r>
      <w:r w:rsidR="006A7187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。而目前籌設中的「沙崙智慧綠能科學城」，未來將成為我國綠能科技對國際展示之櫥窗，並為我國相關產業進軍國際市場之跳板。</w:t>
      </w:r>
    </w:p>
    <w:p w:rsidR="003F7323" w:rsidRPr="00824E8C" w:rsidRDefault="003F7323" w:rsidP="00824E8C">
      <w:pPr>
        <w:adjustRightInd w:val="0"/>
        <w:snapToGrid w:val="0"/>
        <w:jc w:val="both"/>
        <w:rPr>
          <w:rFonts w:ascii="標楷體" w:eastAsia="標楷體" w:hAnsi="標楷體"/>
          <w:color w:val="000000" w:themeColor="text1"/>
          <w:sz w:val="32"/>
          <w:szCs w:val="32"/>
          <w:shd w:val="clear" w:color="auto" w:fill="FFFFFF"/>
        </w:rPr>
      </w:pPr>
    </w:p>
    <w:p w:rsidR="003369C5" w:rsidRPr="00824E8C" w:rsidRDefault="00837AD2" w:rsidP="00824E8C">
      <w:pPr>
        <w:adjustRightInd w:val="0"/>
        <w:snapToGrid w:val="0"/>
        <w:jc w:val="both"/>
        <w:rPr>
          <w:rFonts w:ascii="標楷體" w:eastAsia="標楷體" w:hAnsi="標楷體"/>
          <w:color w:val="000000" w:themeColor="text1"/>
          <w:sz w:val="32"/>
          <w:szCs w:val="32"/>
          <w:shd w:val="clear" w:color="auto" w:fill="FFFFFF"/>
        </w:rPr>
      </w:pPr>
      <w:r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經濟部指出，</w:t>
      </w:r>
      <w:r w:rsidR="009369F1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過去一年內政府積極發展再生能源，除以「綠能屋頂全民參與」、「太陽光電2年計畫」、「風力發電4年計畫」等政策吸引再生能源投資外，更配合「綠能科技產業創新推動方案」目標，以「綠色債券」、「再生能源憑證」、「綠色金融行動方案」等法規與財務之配套措施，引導資金挹注再生能源發展；本(1)月11日更通過「再生能源發展條例」之修法，將「再生能源發電占比20%」明訂為具體目標，並訂定用電大戶之綠電義務，落實再生能源應用。</w:t>
      </w:r>
    </w:p>
    <w:p w:rsidR="003369C5" w:rsidRPr="00824E8C" w:rsidRDefault="003369C5" w:rsidP="00824E8C">
      <w:pPr>
        <w:adjustRightInd w:val="0"/>
        <w:snapToGrid w:val="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</w:p>
    <w:p w:rsidR="007555F7" w:rsidRPr="00824E8C" w:rsidRDefault="007555F7" w:rsidP="00824E8C">
      <w:pPr>
        <w:adjustRightInd w:val="0"/>
        <w:snapToGrid w:val="0"/>
        <w:jc w:val="both"/>
        <w:rPr>
          <w:rFonts w:ascii="標楷體" w:eastAsia="標楷體" w:hAnsi="標楷體"/>
          <w:color w:val="000000" w:themeColor="text1"/>
          <w:sz w:val="32"/>
          <w:szCs w:val="32"/>
          <w:shd w:val="clear" w:color="auto" w:fill="FFFFFF"/>
        </w:rPr>
      </w:pPr>
    </w:p>
    <w:p w:rsidR="00196077" w:rsidRPr="00824E8C" w:rsidRDefault="00837AD2" w:rsidP="00824E8C">
      <w:pPr>
        <w:adjustRightInd w:val="0"/>
        <w:snapToGrid w:val="0"/>
        <w:jc w:val="both"/>
        <w:rPr>
          <w:rFonts w:ascii="標楷體" w:eastAsia="標楷體" w:hAnsi="標楷體"/>
          <w:color w:val="000000" w:themeColor="text1"/>
          <w:sz w:val="32"/>
          <w:szCs w:val="32"/>
          <w:shd w:val="clear" w:color="auto" w:fill="FFFFFF"/>
        </w:rPr>
      </w:pPr>
      <w:r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經濟部表示，</w:t>
      </w:r>
      <w:r w:rsidR="003F7323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在</w:t>
      </w:r>
      <w:r w:rsidR="00196077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主要</w:t>
      </w:r>
      <w:r w:rsidR="003F7323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推動成果方面</w:t>
      </w:r>
      <w:r w:rsidR="00B54024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，</w:t>
      </w:r>
      <w:r w:rsidR="00054265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截</w:t>
      </w:r>
      <w:r w:rsidR="00B54024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至106年底</w:t>
      </w:r>
      <w:r w:rsidR="00196077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：</w:t>
      </w:r>
    </w:p>
    <w:p w:rsidR="00F91B1E" w:rsidRPr="00824E8C" w:rsidRDefault="00F91B1E" w:rsidP="00824E8C">
      <w:pPr>
        <w:adjustRightInd w:val="0"/>
        <w:snapToGrid w:val="0"/>
        <w:jc w:val="both"/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</w:pPr>
    </w:p>
    <w:p w:rsidR="00196077" w:rsidRPr="00824E8C" w:rsidRDefault="00B54024" w:rsidP="00824E8C">
      <w:pPr>
        <w:pStyle w:val="a7"/>
        <w:numPr>
          <w:ilvl w:val="0"/>
          <w:numId w:val="1"/>
        </w:numPr>
        <w:adjustRightInd w:val="0"/>
        <w:snapToGrid w:val="0"/>
        <w:ind w:leftChars="0"/>
        <w:jc w:val="both"/>
        <w:rPr>
          <w:rFonts w:ascii="標楷體" w:eastAsia="標楷體" w:hAnsi="標楷體"/>
          <w:color w:val="000000" w:themeColor="text1"/>
          <w:sz w:val="32"/>
          <w:szCs w:val="32"/>
          <w:shd w:val="clear" w:color="auto" w:fill="FFFFFF"/>
        </w:rPr>
      </w:pPr>
      <w:r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太陽光電</w:t>
      </w:r>
      <w:r w:rsidRPr="00824E8C">
        <w:rPr>
          <w:rFonts w:ascii="標楷體" w:eastAsia="標楷體" w:hAnsi="標楷體"/>
          <w:color w:val="000000" w:themeColor="text1"/>
          <w:sz w:val="32"/>
          <w:szCs w:val="32"/>
          <w:shd w:val="clear" w:color="auto" w:fill="FFFFFF"/>
        </w:rPr>
        <w:t>2</w:t>
      </w:r>
      <w:r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年計畫</w:t>
      </w:r>
      <w:r w:rsidR="00054265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同意備案容量</w:t>
      </w:r>
      <w:r w:rsidR="00196077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為</w:t>
      </w:r>
      <w:r w:rsidR="00054265" w:rsidRPr="00824E8C">
        <w:rPr>
          <w:rFonts w:ascii="標楷體" w:eastAsia="標楷體" w:hAnsi="標楷體"/>
          <w:color w:val="000000" w:themeColor="text1"/>
          <w:sz w:val="32"/>
          <w:szCs w:val="32"/>
          <w:shd w:val="clear" w:color="auto" w:fill="FFFFFF"/>
        </w:rPr>
        <w:t>1.42GW</w:t>
      </w:r>
      <w:r w:rsidR="00054265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，達目標量</w:t>
      </w:r>
      <w:r w:rsidR="00054265" w:rsidRPr="00824E8C">
        <w:rPr>
          <w:rFonts w:ascii="標楷體" w:eastAsia="標楷體" w:hAnsi="標楷體"/>
          <w:color w:val="000000" w:themeColor="text1"/>
          <w:sz w:val="32"/>
          <w:szCs w:val="32"/>
          <w:shd w:val="clear" w:color="auto" w:fill="FFFFFF"/>
        </w:rPr>
        <w:t>1.52GW</w:t>
      </w:r>
      <w:r w:rsidR="00054265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之</w:t>
      </w:r>
      <w:r w:rsidR="00054265" w:rsidRPr="00824E8C">
        <w:rPr>
          <w:rFonts w:ascii="標楷體" w:eastAsia="標楷體" w:hAnsi="標楷體"/>
          <w:color w:val="000000" w:themeColor="text1"/>
          <w:sz w:val="32"/>
          <w:szCs w:val="32"/>
          <w:shd w:val="clear" w:color="auto" w:fill="FFFFFF"/>
        </w:rPr>
        <w:t>93.7%</w:t>
      </w:r>
      <w:r w:rsidR="00054265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，後續將持續推動</w:t>
      </w:r>
      <w:r w:rsidR="00F91717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。</w:t>
      </w:r>
      <w:r w:rsidR="00A8207A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另</w:t>
      </w:r>
      <w:r w:rsidR="00B23F89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政府進一步修正</w:t>
      </w:r>
      <w:r w:rsidR="00B23F89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lastRenderedPageBreak/>
        <w:t>「海關進口稅則」免徵太陽光電模組使用材料進口關稅，並促成國內廠商向下游投資模組廠；我國市場</w:t>
      </w:r>
      <w:r w:rsidR="00DC5A30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亦</w:t>
      </w:r>
      <w:r w:rsidR="0085563C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預計</w:t>
      </w:r>
      <w:r w:rsidR="00B23F89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吸引國外光電大廠來臺投資290億元。</w:t>
      </w:r>
    </w:p>
    <w:p w:rsidR="00837AD2" w:rsidRPr="00824E8C" w:rsidRDefault="00837AD2" w:rsidP="00824E8C">
      <w:pPr>
        <w:pStyle w:val="a7"/>
        <w:adjustRightInd w:val="0"/>
        <w:snapToGrid w:val="0"/>
        <w:ind w:leftChars="0" w:left="720"/>
        <w:jc w:val="both"/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</w:pPr>
    </w:p>
    <w:p w:rsidR="00196077" w:rsidRPr="00824E8C" w:rsidRDefault="00ED7B84" w:rsidP="00824E8C">
      <w:pPr>
        <w:pStyle w:val="a7"/>
        <w:numPr>
          <w:ilvl w:val="0"/>
          <w:numId w:val="1"/>
        </w:numPr>
        <w:adjustRightInd w:val="0"/>
        <w:snapToGrid w:val="0"/>
        <w:ind w:leftChars="0"/>
        <w:jc w:val="both"/>
        <w:rPr>
          <w:rFonts w:ascii="標楷體" w:eastAsia="標楷體" w:hAnsi="標楷體"/>
          <w:color w:val="000000" w:themeColor="text1"/>
          <w:sz w:val="32"/>
          <w:szCs w:val="32"/>
          <w:shd w:val="clear" w:color="auto" w:fill="FFFFFF"/>
        </w:rPr>
      </w:pPr>
      <w:r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風力發電四年計畫</w:t>
      </w:r>
      <w:r w:rsidR="00B23F89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共</w:t>
      </w:r>
      <w:r w:rsidR="00A8689C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新增</w:t>
      </w:r>
      <w:r w:rsidR="00054265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離岸、陸域共</w:t>
      </w:r>
      <w:r w:rsidR="00A8689C" w:rsidRPr="00824E8C">
        <w:rPr>
          <w:rFonts w:ascii="標楷體" w:eastAsia="標楷體" w:hAnsi="標楷體"/>
          <w:color w:val="000000" w:themeColor="text1"/>
          <w:sz w:val="32"/>
          <w:szCs w:val="32"/>
          <w:shd w:val="clear" w:color="auto" w:fill="FFFFFF"/>
        </w:rPr>
        <w:t>13</w:t>
      </w:r>
      <w:r w:rsidRPr="00824E8C">
        <w:rPr>
          <w:rFonts w:ascii="標楷體" w:eastAsia="標楷體" w:hAnsi="標楷體"/>
          <w:color w:val="000000" w:themeColor="text1"/>
          <w:sz w:val="32"/>
          <w:szCs w:val="32"/>
          <w:shd w:val="clear" w:color="auto" w:fill="FFFFFF"/>
        </w:rPr>
        <w:t>MW</w:t>
      </w:r>
      <w:r w:rsidR="00054265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裝置容量</w:t>
      </w:r>
      <w:r w:rsidR="00196077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。</w:t>
      </w:r>
      <w:r w:rsidR="00DA4253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另在相關政策推動下，</w:t>
      </w:r>
      <w:r w:rsidR="00B23F89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全球最大離岸風電開發商沃旭能源、風機系統商艾納康、西門子歌美颯等公司，已於臺灣成立亞太區域據點；國內風電相關業者則以中鋼與</w:t>
      </w:r>
      <w:r w:rsidR="000D208E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台</w:t>
      </w:r>
      <w:r w:rsidR="00B23F89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船為龍頭，分別成立國內之風電產業、海事工程聯盟，可望發揮我國產業優勢，攜手國際合作夥伴，共同推動風力發電產業發展</w:t>
      </w:r>
      <w:r w:rsidR="00196077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。</w:t>
      </w:r>
    </w:p>
    <w:p w:rsidR="00837AD2" w:rsidRPr="00824E8C" w:rsidRDefault="00837AD2" w:rsidP="00824E8C">
      <w:pPr>
        <w:adjustRightInd w:val="0"/>
        <w:snapToGrid w:val="0"/>
        <w:jc w:val="both"/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</w:pPr>
    </w:p>
    <w:p w:rsidR="00196077" w:rsidRPr="00824E8C" w:rsidRDefault="00054265" w:rsidP="00824E8C">
      <w:pPr>
        <w:pStyle w:val="a7"/>
        <w:numPr>
          <w:ilvl w:val="0"/>
          <w:numId w:val="1"/>
        </w:numPr>
        <w:adjustRightInd w:val="0"/>
        <w:snapToGrid w:val="0"/>
        <w:ind w:leftChars="0"/>
        <w:jc w:val="both"/>
        <w:rPr>
          <w:rFonts w:ascii="標楷體" w:eastAsia="標楷體" w:hAnsi="標楷體"/>
          <w:color w:val="000000" w:themeColor="text1"/>
          <w:sz w:val="32"/>
          <w:szCs w:val="32"/>
          <w:shd w:val="clear" w:color="auto" w:fill="FFFFFF"/>
        </w:rPr>
      </w:pPr>
      <w:r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為配合再生能源之電力穩定併網，</w:t>
      </w:r>
      <w:r w:rsidR="00AE3A6E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台</w:t>
      </w:r>
      <w:r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電公司亦積極</w:t>
      </w:r>
      <w:r w:rsidR="00ED7B84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加速電網饋線工程。</w:t>
      </w:r>
    </w:p>
    <w:p w:rsidR="00837AD2" w:rsidRPr="00824E8C" w:rsidRDefault="00837AD2" w:rsidP="00824E8C">
      <w:pPr>
        <w:adjustRightInd w:val="0"/>
        <w:snapToGrid w:val="0"/>
        <w:jc w:val="both"/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</w:pPr>
    </w:p>
    <w:p w:rsidR="0016669D" w:rsidRPr="00D332FE" w:rsidRDefault="00ED7B84" w:rsidP="00824E8C">
      <w:pPr>
        <w:pStyle w:val="a7"/>
        <w:numPr>
          <w:ilvl w:val="0"/>
          <w:numId w:val="1"/>
        </w:numPr>
        <w:adjustRightInd w:val="0"/>
        <w:snapToGrid w:val="0"/>
        <w:ind w:leftChars="0"/>
        <w:jc w:val="both"/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</w:pPr>
      <w:r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已</w:t>
      </w:r>
      <w:r w:rsidR="00A8689C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於</w:t>
      </w:r>
      <w:r w:rsidR="00B23F89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臺北健康、新北新豐與秀朗公宅、臺南新營公有宿舍與高雄鳳山臺電宿舍等地，完成1,000戶智慧電表布建與智慧家庭示範，今(107)年將持續推廣，達成建置20萬具智慧電表與累計5,000戶智慧家庭示範之目標</w:t>
      </w:r>
      <w:r w:rsidR="00FE55DF" w:rsidRPr="00824E8C">
        <w:rPr>
          <w:rFonts w:ascii="標楷體" w:eastAsia="標楷體" w:hAnsi="標楷體" w:hint="eastAsia"/>
          <w:color w:val="000000" w:themeColor="text1"/>
          <w:sz w:val="32"/>
          <w:szCs w:val="32"/>
          <w:shd w:val="clear" w:color="auto" w:fill="FFFFFF"/>
        </w:rPr>
        <w:t>。</w:t>
      </w:r>
      <w:bookmarkStart w:id="0" w:name="_GoBack"/>
      <w:bookmarkEnd w:id="0"/>
    </w:p>
    <w:sectPr w:rsidR="0016669D" w:rsidRPr="00D332FE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7780" w:rsidRDefault="00C07780" w:rsidP="00CA630F">
      <w:r>
        <w:separator/>
      </w:r>
    </w:p>
  </w:endnote>
  <w:endnote w:type="continuationSeparator" w:id="0">
    <w:p w:rsidR="00C07780" w:rsidRDefault="00C07780" w:rsidP="00CA6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6842231"/>
      <w:docPartObj>
        <w:docPartGallery w:val="Page Numbers (Bottom of Page)"/>
        <w:docPartUnique/>
      </w:docPartObj>
    </w:sdtPr>
    <w:sdtContent>
      <w:p w:rsidR="00081976" w:rsidRDefault="0008197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32FE" w:rsidRPr="00D332FE">
          <w:rPr>
            <w:noProof/>
            <w:lang w:val="zh-TW"/>
          </w:rPr>
          <w:t>2</w:t>
        </w:r>
        <w:r>
          <w:fldChar w:fldCharType="end"/>
        </w:r>
      </w:p>
    </w:sdtContent>
  </w:sdt>
  <w:p w:rsidR="00081976" w:rsidRDefault="0008197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7780" w:rsidRDefault="00C07780" w:rsidP="00CA630F">
      <w:r>
        <w:separator/>
      </w:r>
    </w:p>
  </w:footnote>
  <w:footnote w:type="continuationSeparator" w:id="0">
    <w:p w:rsidR="00C07780" w:rsidRDefault="00C07780" w:rsidP="00CA63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91F3C"/>
    <w:multiLevelType w:val="hybridMultilevel"/>
    <w:tmpl w:val="E5CA3542"/>
    <w:lvl w:ilvl="0" w:tplc="6D06F648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89B"/>
    <w:rsid w:val="00054265"/>
    <w:rsid w:val="00081976"/>
    <w:rsid w:val="000B6D9A"/>
    <w:rsid w:val="000D208E"/>
    <w:rsid w:val="00115D4D"/>
    <w:rsid w:val="001221F7"/>
    <w:rsid w:val="0015399C"/>
    <w:rsid w:val="0016669D"/>
    <w:rsid w:val="00196077"/>
    <w:rsid w:val="00217F78"/>
    <w:rsid w:val="0032470C"/>
    <w:rsid w:val="003369C5"/>
    <w:rsid w:val="003A33F5"/>
    <w:rsid w:val="003C74A3"/>
    <w:rsid w:val="003F7323"/>
    <w:rsid w:val="00463820"/>
    <w:rsid w:val="00481E84"/>
    <w:rsid w:val="004D6390"/>
    <w:rsid w:val="004D6FA3"/>
    <w:rsid w:val="0054498A"/>
    <w:rsid w:val="00682298"/>
    <w:rsid w:val="006A7187"/>
    <w:rsid w:val="007555F7"/>
    <w:rsid w:val="00786B8C"/>
    <w:rsid w:val="007A134D"/>
    <w:rsid w:val="007A2BAF"/>
    <w:rsid w:val="00824E8C"/>
    <w:rsid w:val="00837AD2"/>
    <w:rsid w:val="0085563C"/>
    <w:rsid w:val="0087375B"/>
    <w:rsid w:val="008B118F"/>
    <w:rsid w:val="009369F1"/>
    <w:rsid w:val="00945F06"/>
    <w:rsid w:val="00996C0C"/>
    <w:rsid w:val="00A141B0"/>
    <w:rsid w:val="00A8207A"/>
    <w:rsid w:val="00A8689C"/>
    <w:rsid w:val="00A87B65"/>
    <w:rsid w:val="00AC7F80"/>
    <w:rsid w:val="00AE3A6E"/>
    <w:rsid w:val="00B00223"/>
    <w:rsid w:val="00B23F89"/>
    <w:rsid w:val="00B46951"/>
    <w:rsid w:val="00B54024"/>
    <w:rsid w:val="00B57866"/>
    <w:rsid w:val="00B762C9"/>
    <w:rsid w:val="00B835E2"/>
    <w:rsid w:val="00BA16E4"/>
    <w:rsid w:val="00BA3303"/>
    <w:rsid w:val="00C07780"/>
    <w:rsid w:val="00CA630F"/>
    <w:rsid w:val="00CB5AC4"/>
    <w:rsid w:val="00CD0DF8"/>
    <w:rsid w:val="00CE089B"/>
    <w:rsid w:val="00D332FE"/>
    <w:rsid w:val="00D352AA"/>
    <w:rsid w:val="00D66665"/>
    <w:rsid w:val="00D77C54"/>
    <w:rsid w:val="00D80E54"/>
    <w:rsid w:val="00DA4253"/>
    <w:rsid w:val="00DC5A30"/>
    <w:rsid w:val="00E26997"/>
    <w:rsid w:val="00E34625"/>
    <w:rsid w:val="00E56599"/>
    <w:rsid w:val="00EB0742"/>
    <w:rsid w:val="00ED5177"/>
    <w:rsid w:val="00ED7B84"/>
    <w:rsid w:val="00F8314D"/>
    <w:rsid w:val="00F91717"/>
    <w:rsid w:val="00F91B1E"/>
    <w:rsid w:val="00FC1B18"/>
    <w:rsid w:val="00FE55DF"/>
    <w:rsid w:val="00FE6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030176"/>
  <w15:docId w15:val="{840EAB1E-C6FB-49B0-AC1F-98DA81063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A63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A630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A63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A630F"/>
    <w:rPr>
      <w:sz w:val="20"/>
      <w:szCs w:val="20"/>
    </w:rPr>
  </w:style>
  <w:style w:type="paragraph" w:styleId="a7">
    <w:name w:val="List Paragraph"/>
    <w:basedOn w:val="a"/>
    <w:uiPriority w:val="34"/>
    <w:qFormat/>
    <w:rsid w:val="0019607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2</Pages>
  <Words>147</Words>
  <Characters>838</Characters>
  <Application>Microsoft Office Word</Application>
  <DocSecurity>0</DocSecurity>
  <Lines>6</Lines>
  <Paragraphs>1</Paragraphs>
  <ScaleCrop>false</ScaleCrop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楊海嵐</dc:creator>
  <cp:lastModifiedBy>廖秋雯</cp:lastModifiedBy>
  <cp:revision>39</cp:revision>
  <cp:lastPrinted>2018-01-16T01:42:00Z</cp:lastPrinted>
  <dcterms:created xsi:type="dcterms:W3CDTF">2018-01-15T06:42:00Z</dcterms:created>
  <dcterms:modified xsi:type="dcterms:W3CDTF">2018-01-17T10:56:00Z</dcterms:modified>
</cp:coreProperties>
</file>