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theme/themeOverride1.xml" ContentType="application/vnd.openxmlformats-officedocument.themeOverrid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87467" w:rsidRPr="00990BAC" w:rsidRDefault="0085466C" w:rsidP="00990BAC">
      <w:pPr>
        <w:jc w:val="center"/>
        <w:rPr>
          <w:rFonts w:eastAsia="標楷體"/>
          <w:sz w:val="32"/>
          <w:szCs w:val="32"/>
        </w:rPr>
      </w:pPr>
      <w:proofErr w:type="gramStart"/>
      <w:r>
        <w:rPr>
          <w:rFonts w:eastAsia="標楷體" w:hint="eastAsia"/>
          <w:sz w:val="32"/>
          <w:szCs w:val="32"/>
        </w:rPr>
        <w:t>臺</w:t>
      </w:r>
      <w:proofErr w:type="gramEnd"/>
      <w:r>
        <w:rPr>
          <w:rFonts w:eastAsia="標楷體" w:hint="eastAsia"/>
          <w:sz w:val="32"/>
          <w:szCs w:val="32"/>
        </w:rPr>
        <w:t>美雙方致力共同推動資訊科技協定（</w:t>
      </w:r>
      <w:r>
        <w:rPr>
          <w:rFonts w:eastAsia="標楷體" w:hint="eastAsia"/>
          <w:sz w:val="32"/>
          <w:szCs w:val="32"/>
        </w:rPr>
        <w:t>ITA</w:t>
      </w:r>
      <w:r>
        <w:rPr>
          <w:rFonts w:eastAsia="標楷體" w:hint="eastAsia"/>
          <w:sz w:val="32"/>
          <w:szCs w:val="32"/>
        </w:rPr>
        <w:t>）擴大談判</w:t>
      </w:r>
    </w:p>
    <w:p w:rsidR="00817675" w:rsidRDefault="00817675" w:rsidP="00990BAC">
      <w:pPr>
        <w:jc w:val="right"/>
        <w:rPr>
          <w:rFonts w:eastAsia="標楷體"/>
          <w:sz w:val="20"/>
          <w:szCs w:val="20"/>
        </w:rPr>
      </w:pPr>
      <w:r w:rsidRPr="00817675">
        <w:rPr>
          <w:rFonts w:eastAsia="標楷體"/>
          <w:sz w:val="20"/>
          <w:szCs w:val="20"/>
        </w:rPr>
        <w:t>經貿談判代表辦公室</w:t>
      </w:r>
    </w:p>
    <w:p w:rsidR="0085466C" w:rsidRPr="00817675" w:rsidRDefault="0085466C" w:rsidP="00990BAC">
      <w:pPr>
        <w:jc w:val="right"/>
        <w:rPr>
          <w:rFonts w:eastAsia="標楷體"/>
          <w:sz w:val="20"/>
          <w:szCs w:val="20"/>
        </w:rPr>
      </w:pPr>
      <w:r>
        <w:rPr>
          <w:rFonts w:eastAsia="標楷體" w:hint="eastAsia"/>
          <w:sz w:val="20"/>
          <w:szCs w:val="20"/>
        </w:rPr>
        <w:t>102</w:t>
      </w:r>
      <w:r>
        <w:rPr>
          <w:rFonts w:eastAsia="標楷體" w:hint="eastAsia"/>
          <w:sz w:val="20"/>
          <w:szCs w:val="20"/>
        </w:rPr>
        <w:t>年</w:t>
      </w:r>
      <w:r>
        <w:rPr>
          <w:rFonts w:eastAsia="標楷體" w:hint="eastAsia"/>
          <w:sz w:val="20"/>
          <w:szCs w:val="20"/>
        </w:rPr>
        <w:t>3</w:t>
      </w:r>
      <w:r>
        <w:rPr>
          <w:rFonts w:eastAsia="標楷體" w:hint="eastAsia"/>
          <w:sz w:val="20"/>
          <w:szCs w:val="20"/>
        </w:rPr>
        <w:t>月</w:t>
      </w:r>
      <w:r>
        <w:rPr>
          <w:rFonts w:eastAsia="標楷體" w:hint="eastAsia"/>
          <w:sz w:val="20"/>
          <w:szCs w:val="20"/>
        </w:rPr>
        <w:t>10</w:t>
      </w:r>
      <w:r>
        <w:rPr>
          <w:rFonts w:eastAsia="標楷體" w:hint="eastAsia"/>
          <w:sz w:val="20"/>
          <w:szCs w:val="20"/>
        </w:rPr>
        <w:t>日</w:t>
      </w:r>
    </w:p>
    <w:p w:rsidR="00FF100D" w:rsidRPr="00FF100D" w:rsidRDefault="003F7BF6" w:rsidP="00FF100D">
      <w:pPr>
        <w:pStyle w:val="ae"/>
        <w:numPr>
          <w:ilvl w:val="0"/>
          <w:numId w:val="6"/>
        </w:numPr>
        <w:spacing w:beforeLines="50" w:before="180" w:line="500" w:lineRule="exact"/>
        <w:ind w:leftChars="0"/>
        <w:rPr>
          <w:rFonts w:eastAsia="標楷體"/>
          <w:sz w:val="32"/>
          <w:szCs w:val="32"/>
        </w:rPr>
      </w:pPr>
      <w:proofErr w:type="gramStart"/>
      <w:r>
        <w:rPr>
          <w:rFonts w:eastAsia="標楷體" w:hint="eastAsia"/>
          <w:sz w:val="32"/>
          <w:szCs w:val="32"/>
        </w:rPr>
        <w:t>臺</w:t>
      </w:r>
      <w:proofErr w:type="gramEnd"/>
      <w:r>
        <w:rPr>
          <w:rFonts w:eastAsia="標楷體" w:hint="eastAsia"/>
          <w:sz w:val="32"/>
          <w:szCs w:val="32"/>
        </w:rPr>
        <w:t>美</w:t>
      </w:r>
      <w:r>
        <w:rPr>
          <w:rFonts w:eastAsia="標楷體" w:hint="eastAsia"/>
          <w:sz w:val="32"/>
          <w:szCs w:val="32"/>
        </w:rPr>
        <w:t>TIFA</w:t>
      </w:r>
      <w:r>
        <w:rPr>
          <w:rFonts w:eastAsia="標楷體" w:hint="eastAsia"/>
          <w:sz w:val="32"/>
          <w:szCs w:val="32"/>
        </w:rPr>
        <w:t>會議討論情形</w:t>
      </w:r>
    </w:p>
    <w:p w:rsidR="0085466C" w:rsidRDefault="0085466C" w:rsidP="00FF100D">
      <w:pPr>
        <w:pStyle w:val="ae"/>
        <w:spacing w:beforeLines="50" w:before="180" w:line="500" w:lineRule="exact"/>
        <w:ind w:leftChars="0" w:left="0" w:firstLineChars="225" w:firstLine="720"/>
        <w:rPr>
          <w:rFonts w:eastAsia="標楷體"/>
          <w:sz w:val="32"/>
          <w:szCs w:val="32"/>
        </w:rPr>
      </w:pPr>
      <w:proofErr w:type="gramStart"/>
      <w:r w:rsidRPr="00FF100D">
        <w:rPr>
          <w:rFonts w:eastAsia="標楷體"/>
          <w:sz w:val="32"/>
          <w:szCs w:val="32"/>
        </w:rPr>
        <w:t>臺</w:t>
      </w:r>
      <w:proofErr w:type="gramEnd"/>
      <w:r w:rsidRPr="00FF100D">
        <w:rPr>
          <w:rFonts w:eastAsia="標楷體"/>
          <w:sz w:val="32"/>
          <w:szCs w:val="32"/>
        </w:rPr>
        <w:t>美雙方於本次</w:t>
      </w:r>
      <w:r w:rsidRPr="00FF100D">
        <w:rPr>
          <w:rFonts w:eastAsia="標楷體"/>
          <w:sz w:val="32"/>
          <w:szCs w:val="32"/>
        </w:rPr>
        <w:t>TIFA</w:t>
      </w:r>
      <w:r w:rsidRPr="00FF100D">
        <w:rPr>
          <w:rFonts w:eastAsia="標楷體"/>
          <w:sz w:val="32"/>
          <w:szCs w:val="32"/>
        </w:rPr>
        <w:t>會議討論於</w:t>
      </w:r>
      <w:r w:rsidRPr="00FF100D">
        <w:rPr>
          <w:rFonts w:eastAsia="標楷體"/>
          <w:sz w:val="32"/>
          <w:szCs w:val="32"/>
        </w:rPr>
        <w:t>WTO</w:t>
      </w:r>
      <w:r w:rsidRPr="00FF100D">
        <w:rPr>
          <w:rFonts w:eastAsia="標楷體"/>
          <w:sz w:val="32"/>
          <w:szCs w:val="32"/>
        </w:rPr>
        <w:t>多邊架構下共同致力推動資訊科技協定擴大談判，雙方同意加強合作，共同推動</w:t>
      </w:r>
      <w:r w:rsidRPr="00FF100D">
        <w:rPr>
          <w:rFonts w:eastAsia="標楷體"/>
          <w:sz w:val="32"/>
          <w:szCs w:val="32"/>
        </w:rPr>
        <w:t>ITA</w:t>
      </w:r>
      <w:r w:rsidRPr="00FF100D">
        <w:rPr>
          <w:rFonts w:eastAsia="標楷體"/>
          <w:sz w:val="32"/>
          <w:szCs w:val="32"/>
        </w:rPr>
        <w:t>擴大談判，期於本年暑休前完成談判，以利全球資訊產業之發展，進而促進全球就業市場與經濟發展。</w:t>
      </w:r>
    </w:p>
    <w:p w:rsidR="0085466C" w:rsidRPr="00FF100D" w:rsidRDefault="0085466C" w:rsidP="00FF100D">
      <w:pPr>
        <w:snapToGrid w:val="0"/>
        <w:spacing w:beforeLines="100" w:before="360" w:line="500" w:lineRule="exact"/>
        <w:jc w:val="both"/>
        <w:rPr>
          <w:rFonts w:eastAsia="標楷體"/>
          <w:sz w:val="32"/>
          <w:szCs w:val="32"/>
        </w:rPr>
      </w:pPr>
      <w:r w:rsidRPr="00FF100D">
        <w:rPr>
          <w:rFonts w:eastAsia="標楷體"/>
          <w:sz w:val="32"/>
          <w:szCs w:val="32"/>
        </w:rPr>
        <w:t>二、資訊科技協定</w:t>
      </w:r>
      <w:r w:rsidRPr="00FF100D">
        <w:rPr>
          <w:rFonts w:eastAsia="標楷體"/>
          <w:sz w:val="32"/>
          <w:szCs w:val="32"/>
        </w:rPr>
        <w:t>(ITA)</w:t>
      </w:r>
      <w:r w:rsidRPr="00FF100D">
        <w:rPr>
          <w:rFonts w:eastAsia="標楷體"/>
          <w:sz w:val="32"/>
          <w:szCs w:val="32"/>
        </w:rPr>
        <w:t>擴大案簡介</w:t>
      </w:r>
    </w:p>
    <w:p w:rsidR="0085466C" w:rsidRPr="00FF100D" w:rsidRDefault="00FF100D" w:rsidP="00FF100D">
      <w:pPr>
        <w:snapToGrid w:val="0"/>
        <w:spacing w:beforeLines="50" w:before="180" w:line="500" w:lineRule="exact"/>
        <w:jc w:val="both"/>
        <w:rPr>
          <w:rFonts w:eastAsia="標楷體"/>
          <w:sz w:val="32"/>
          <w:szCs w:val="32"/>
        </w:rPr>
      </w:pPr>
      <w:r>
        <w:rPr>
          <w:rFonts w:eastAsia="標楷體" w:hint="eastAsia"/>
          <w:sz w:val="32"/>
          <w:szCs w:val="32"/>
        </w:rPr>
        <w:t xml:space="preserve">    </w:t>
      </w:r>
      <w:r w:rsidR="0085466C" w:rsidRPr="00FF100D">
        <w:rPr>
          <w:rFonts w:eastAsia="標楷體"/>
          <w:sz w:val="32"/>
          <w:szCs w:val="32"/>
        </w:rPr>
        <w:t>鑒於</w:t>
      </w:r>
      <w:r w:rsidR="0085466C" w:rsidRPr="00FF100D">
        <w:rPr>
          <w:rFonts w:eastAsia="標楷體"/>
          <w:sz w:val="32"/>
          <w:szCs w:val="32"/>
        </w:rPr>
        <w:t>ITA</w:t>
      </w:r>
      <w:r w:rsidR="0085466C" w:rsidRPr="00FF100D">
        <w:rPr>
          <w:rFonts w:eastAsia="標楷體"/>
          <w:sz w:val="32"/>
          <w:szCs w:val="32"/>
        </w:rPr>
        <w:t>自</w:t>
      </w:r>
      <w:r w:rsidR="0085466C" w:rsidRPr="00FF100D">
        <w:rPr>
          <w:rFonts w:eastAsia="標楷體"/>
          <w:sz w:val="32"/>
          <w:szCs w:val="32"/>
        </w:rPr>
        <w:t>1997</w:t>
      </w:r>
      <w:r w:rsidR="0085466C" w:rsidRPr="00FF100D">
        <w:rPr>
          <w:rFonts w:eastAsia="標楷體"/>
          <w:sz w:val="32"/>
          <w:szCs w:val="32"/>
        </w:rPr>
        <w:t>年生效以來，科技日新月異，許多新興科技產品並未納入</w:t>
      </w:r>
      <w:r w:rsidR="0085466C" w:rsidRPr="00FF100D">
        <w:rPr>
          <w:rFonts w:eastAsia="標楷體"/>
          <w:sz w:val="32"/>
          <w:szCs w:val="32"/>
        </w:rPr>
        <w:t>ITA</w:t>
      </w:r>
      <w:r w:rsidR="0085466C" w:rsidRPr="00FF100D">
        <w:rPr>
          <w:rFonts w:eastAsia="標楷體"/>
          <w:sz w:val="32"/>
          <w:szCs w:val="32"/>
        </w:rPr>
        <w:t>協定，於是部分</w:t>
      </w:r>
      <w:r w:rsidR="0085466C" w:rsidRPr="00FF100D">
        <w:rPr>
          <w:rFonts w:eastAsia="標楷體"/>
          <w:sz w:val="32"/>
          <w:szCs w:val="32"/>
        </w:rPr>
        <w:t>ITA</w:t>
      </w:r>
      <w:r w:rsidR="0085466C" w:rsidRPr="00FF100D">
        <w:rPr>
          <w:rFonts w:eastAsia="標楷體"/>
          <w:sz w:val="32"/>
          <w:szCs w:val="32"/>
        </w:rPr>
        <w:t>簽署會員要求重新檢視</w:t>
      </w:r>
      <w:r w:rsidR="0085466C" w:rsidRPr="00FF100D">
        <w:rPr>
          <w:rFonts w:eastAsia="標楷體"/>
          <w:sz w:val="32"/>
          <w:szCs w:val="32"/>
        </w:rPr>
        <w:t>ITA</w:t>
      </w:r>
      <w:r w:rsidR="0085466C" w:rsidRPr="00FF100D">
        <w:rPr>
          <w:rFonts w:eastAsia="標楷體"/>
          <w:sz w:val="32"/>
          <w:szCs w:val="32"/>
        </w:rPr>
        <w:t>產品清單涵蓋範圍之聲浪愈來愈高。</w:t>
      </w:r>
    </w:p>
    <w:p w:rsidR="0085466C" w:rsidRPr="00FF100D" w:rsidRDefault="00FF100D" w:rsidP="00FF100D">
      <w:pPr>
        <w:snapToGrid w:val="0"/>
        <w:spacing w:beforeLines="50" w:before="180" w:line="500" w:lineRule="exact"/>
        <w:jc w:val="both"/>
        <w:rPr>
          <w:rFonts w:eastAsia="標楷體"/>
          <w:sz w:val="32"/>
          <w:szCs w:val="32"/>
        </w:rPr>
      </w:pPr>
      <w:r>
        <w:rPr>
          <w:rFonts w:eastAsia="標楷體" w:hint="eastAsia"/>
          <w:sz w:val="32"/>
          <w:szCs w:val="32"/>
        </w:rPr>
        <w:t xml:space="preserve">　　</w:t>
      </w:r>
      <w:r w:rsidR="0085466C" w:rsidRPr="00FF100D">
        <w:rPr>
          <w:rFonts w:eastAsia="標楷體"/>
          <w:sz w:val="32"/>
          <w:szCs w:val="32"/>
        </w:rPr>
        <w:t>在</w:t>
      </w:r>
      <w:r w:rsidR="0085466C" w:rsidRPr="00FF100D">
        <w:rPr>
          <w:rFonts w:eastAsia="標楷體"/>
          <w:sz w:val="32"/>
          <w:szCs w:val="32"/>
        </w:rPr>
        <w:t>WTO</w:t>
      </w:r>
      <w:r w:rsidR="0085466C" w:rsidRPr="00FF100D">
        <w:rPr>
          <w:rFonts w:eastAsia="標楷體"/>
          <w:sz w:val="32"/>
          <w:szCs w:val="32"/>
        </w:rPr>
        <w:t>杜哈回合談判停滯的狀態下，</w:t>
      </w:r>
      <w:r w:rsidR="0085466C" w:rsidRPr="00FF100D">
        <w:rPr>
          <w:rFonts w:eastAsia="標楷體"/>
          <w:sz w:val="32"/>
          <w:szCs w:val="32"/>
        </w:rPr>
        <w:t>ITA</w:t>
      </w:r>
      <w:r w:rsidR="0085466C" w:rsidRPr="00FF100D">
        <w:rPr>
          <w:rFonts w:eastAsia="標楷體"/>
          <w:sz w:val="32"/>
          <w:szCs w:val="32"/>
        </w:rPr>
        <w:t>會員對於重新檢視</w:t>
      </w:r>
      <w:r w:rsidR="0085466C" w:rsidRPr="00FF100D">
        <w:rPr>
          <w:rFonts w:eastAsia="標楷體"/>
          <w:sz w:val="32"/>
          <w:szCs w:val="32"/>
        </w:rPr>
        <w:t>ITA</w:t>
      </w:r>
      <w:r w:rsidR="0085466C" w:rsidRPr="00FF100D">
        <w:rPr>
          <w:rFonts w:eastAsia="標楷體"/>
          <w:sz w:val="32"/>
          <w:szCs w:val="32"/>
        </w:rPr>
        <w:t>產品清單之意願相對提高。去</w:t>
      </w:r>
      <w:r w:rsidR="0085466C" w:rsidRPr="00FF100D">
        <w:rPr>
          <w:rFonts w:eastAsia="標楷體"/>
          <w:sz w:val="32"/>
          <w:szCs w:val="32"/>
        </w:rPr>
        <w:t>(101)</w:t>
      </w:r>
      <w:r w:rsidR="0085466C" w:rsidRPr="00FF100D">
        <w:rPr>
          <w:rFonts w:eastAsia="標楷體"/>
          <w:sz w:val="32"/>
          <w:szCs w:val="32"/>
        </w:rPr>
        <w:t>年</w:t>
      </w:r>
      <w:r w:rsidR="0085466C" w:rsidRPr="00FF100D">
        <w:rPr>
          <w:rFonts w:eastAsia="標楷體"/>
          <w:sz w:val="32"/>
          <w:szCs w:val="32"/>
        </w:rPr>
        <w:t>5</w:t>
      </w:r>
      <w:r w:rsidR="0085466C" w:rsidRPr="00FF100D">
        <w:rPr>
          <w:rFonts w:eastAsia="標楷體"/>
          <w:sz w:val="32"/>
          <w:szCs w:val="32"/>
        </w:rPr>
        <w:t>月份開始，由會員自願性開始檢視</w:t>
      </w:r>
      <w:r w:rsidR="0085466C" w:rsidRPr="00FF100D">
        <w:rPr>
          <w:rFonts w:eastAsia="標楷體"/>
          <w:sz w:val="32"/>
          <w:szCs w:val="32"/>
        </w:rPr>
        <w:t>ITA</w:t>
      </w:r>
      <w:r w:rsidR="0085466C" w:rsidRPr="00FF100D">
        <w:rPr>
          <w:rFonts w:eastAsia="標楷體"/>
          <w:sz w:val="32"/>
          <w:szCs w:val="32"/>
        </w:rPr>
        <w:t>產品清單之擴大範圍，我國、</w:t>
      </w:r>
      <w:r w:rsidR="0085466C" w:rsidRPr="00FF100D">
        <w:rPr>
          <w:rFonts w:eastAsia="標楷體"/>
          <w:sz w:val="32"/>
          <w:szCs w:val="32"/>
          <w:lang w:bidi="ta-IN"/>
        </w:rPr>
        <w:t>美國、歐盟、日本與韓國首先提出各自產品清單進行整合，並自</w:t>
      </w:r>
      <w:r w:rsidR="0085466C" w:rsidRPr="00FF100D">
        <w:rPr>
          <w:rFonts w:eastAsia="標楷體"/>
          <w:sz w:val="32"/>
          <w:szCs w:val="32"/>
          <w:lang w:bidi="ta-IN"/>
        </w:rPr>
        <w:t>6</w:t>
      </w:r>
      <w:r w:rsidR="0085466C" w:rsidRPr="00FF100D">
        <w:rPr>
          <w:rFonts w:eastAsia="標楷體"/>
          <w:sz w:val="32"/>
          <w:szCs w:val="32"/>
          <w:lang w:bidi="ta-IN"/>
        </w:rPr>
        <w:t>月份起定期於日內瓦召開小集團會議，進行產品清單之檢視工作，</w:t>
      </w:r>
      <w:r w:rsidR="0085466C" w:rsidRPr="00FF100D">
        <w:rPr>
          <w:rFonts w:eastAsia="標楷體"/>
          <w:sz w:val="32"/>
          <w:szCs w:val="32"/>
        </w:rPr>
        <w:t>開始針對「</w:t>
      </w:r>
      <w:r w:rsidR="0085466C" w:rsidRPr="00FF100D">
        <w:rPr>
          <w:rFonts w:eastAsia="標楷體"/>
          <w:sz w:val="32"/>
          <w:szCs w:val="32"/>
        </w:rPr>
        <w:t>ITA</w:t>
      </w:r>
      <w:r w:rsidR="0085466C" w:rsidRPr="00FF100D">
        <w:rPr>
          <w:rFonts w:eastAsia="標楷體"/>
          <w:sz w:val="32"/>
          <w:szCs w:val="32"/>
        </w:rPr>
        <w:t>擴大談判」提出各自之產品清單，並開始由會員主動且自發性地舉行會議，針對所提之產品清單進行整合與交換意見。</w:t>
      </w:r>
    </w:p>
    <w:p w:rsidR="0085466C" w:rsidRPr="00FF100D" w:rsidRDefault="00FF100D" w:rsidP="00FF100D">
      <w:pPr>
        <w:snapToGrid w:val="0"/>
        <w:spacing w:beforeLines="50" w:before="180" w:line="500" w:lineRule="exact"/>
        <w:jc w:val="both"/>
        <w:rPr>
          <w:rFonts w:eastAsia="標楷體"/>
          <w:sz w:val="32"/>
          <w:szCs w:val="32"/>
        </w:rPr>
      </w:pPr>
      <w:r>
        <w:rPr>
          <w:rFonts w:eastAsia="標楷體" w:hint="eastAsia"/>
          <w:sz w:val="32"/>
          <w:szCs w:val="32"/>
        </w:rPr>
        <w:t xml:space="preserve">　　</w:t>
      </w:r>
      <w:r w:rsidR="0085466C" w:rsidRPr="00FF100D">
        <w:rPr>
          <w:rFonts w:eastAsia="標楷體"/>
          <w:sz w:val="32"/>
          <w:szCs w:val="32"/>
        </w:rPr>
        <w:t>會員每月於日內瓦舉行為期</w:t>
      </w:r>
      <w:proofErr w:type="gramStart"/>
      <w:r w:rsidR="0085466C" w:rsidRPr="00FF100D">
        <w:rPr>
          <w:rFonts w:eastAsia="標楷體"/>
          <w:sz w:val="32"/>
          <w:szCs w:val="32"/>
        </w:rPr>
        <w:t>一週</w:t>
      </w:r>
      <w:proofErr w:type="gramEnd"/>
      <w:r w:rsidR="0085466C" w:rsidRPr="00FF100D">
        <w:rPr>
          <w:rFonts w:eastAsia="標楷體"/>
          <w:sz w:val="32"/>
          <w:szCs w:val="32"/>
        </w:rPr>
        <w:t>之會議，透過雙邊會議、</w:t>
      </w:r>
      <w:proofErr w:type="gramStart"/>
      <w:r w:rsidR="0085466C" w:rsidRPr="00FF100D">
        <w:rPr>
          <w:rFonts w:eastAsia="標楷體"/>
          <w:sz w:val="32"/>
          <w:szCs w:val="32"/>
        </w:rPr>
        <w:t>複</w:t>
      </w:r>
      <w:proofErr w:type="gramEnd"/>
      <w:r w:rsidR="0085466C" w:rsidRPr="00FF100D">
        <w:rPr>
          <w:rFonts w:eastAsia="標楷體"/>
          <w:sz w:val="32"/>
          <w:szCs w:val="32"/>
        </w:rPr>
        <w:t>邊會議與小集團會議，共同討論整合清單之內容與推動策略。會員規劃未來數月將於</w:t>
      </w:r>
      <w:r w:rsidR="0085466C" w:rsidRPr="00FF100D">
        <w:rPr>
          <w:rFonts w:eastAsia="標楷體"/>
          <w:sz w:val="32"/>
          <w:szCs w:val="32"/>
        </w:rPr>
        <w:t>WTO</w:t>
      </w:r>
      <w:r w:rsidR="0085466C" w:rsidRPr="00FF100D">
        <w:rPr>
          <w:rFonts w:eastAsia="標楷體"/>
          <w:sz w:val="32"/>
          <w:szCs w:val="32"/>
        </w:rPr>
        <w:t>進行密集談判，期盼於今年暑休前完成</w:t>
      </w:r>
      <w:r w:rsidR="0085466C" w:rsidRPr="00FF100D">
        <w:rPr>
          <w:rFonts w:eastAsia="標楷體"/>
          <w:sz w:val="32"/>
          <w:szCs w:val="32"/>
        </w:rPr>
        <w:t>ITA</w:t>
      </w:r>
      <w:r w:rsidR="0085466C" w:rsidRPr="00FF100D">
        <w:rPr>
          <w:rFonts w:eastAsia="標楷體"/>
          <w:sz w:val="32"/>
          <w:szCs w:val="32"/>
        </w:rPr>
        <w:t>擴大案之談判，並於今</w:t>
      </w:r>
      <w:proofErr w:type="gramStart"/>
      <w:r w:rsidR="0085466C" w:rsidRPr="00FF100D">
        <w:rPr>
          <w:rFonts w:eastAsia="標楷體"/>
          <w:sz w:val="32"/>
          <w:szCs w:val="32"/>
        </w:rPr>
        <w:t>年</w:t>
      </w:r>
      <w:proofErr w:type="gramEnd"/>
      <w:r w:rsidR="0085466C" w:rsidRPr="00FF100D">
        <w:rPr>
          <w:rFonts w:eastAsia="標楷體"/>
          <w:sz w:val="32"/>
          <w:szCs w:val="32"/>
        </w:rPr>
        <w:t>年底</w:t>
      </w:r>
      <w:r w:rsidR="0085466C" w:rsidRPr="00FF100D">
        <w:rPr>
          <w:rFonts w:eastAsia="標楷體"/>
          <w:sz w:val="32"/>
          <w:szCs w:val="32"/>
        </w:rPr>
        <w:t>WTO</w:t>
      </w:r>
      <w:r w:rsidR="0085466C" w:rsidRPr="00FF100D">
        <w:rPr>
          <w:rFonts w:eastAsia="標楷體"/>
          <w:sz w:val="32"/>
          <w:szCs w:val="32"/>
        </w:rPr>
        <w:t>部長會議時</w:t>
      </w:r>
      <w:proofErr w:type="gramStart"/>
      <w:r w:rsidR="0085466C" w:rsidRPr="00FF100D">
        <w:rPr>
          <w:rFonts w:eastAsia="標楷體"/>
          <w:sz w:val="32"/>
          <w:szCs w:val="32"/>
        </w:rPr>
        <w:t>採</w:t>
      </w:r>
      <w:proofErr w:type="gramEnd"/>
      <w:r w:rsidR="0085466C" w:rsidRPr="00FF100D">
        <w:rPr>
          <w:rFonts w:eastAsia="標楷體"/>
          <w:sz w:val="32"/>
          <w:szCs w:val="32"/>
        </w:rPr>
        <w:t>認談判結果，於明年開始生效執行。</w:t>
      </w:r>
    </w:p>
    <w:p w:rsidR="0085466C" w:rsidRPr="00FF100D" w:rsidRDefault="00FF100D" w:rsidP="00FF100D">
      <w:pPr>
        <w:snapToGrid w:val="0"/>
        <w:spacing w:beforeLines="50" w:before="180" w:line="500" w:lineRule="exact"/>
        <w:jc w:val="both"/>
        <w:rPr>
          <w:rFonts w:eastAsia="標楷體"/>
          <w:sz w:val="32"/>
          <w:szCs w:val="32"/>
        </w:rPr>
      </w:pPr>
      <w:r>
        <w:rPr>
          <w:rFonts w:eastAsia="標楷體" w:hint="eastAsia"/>
          <w:sz w:val="32"/>
          <w:szCs w:val="32"/>
        </w:rPr>
        <w:t xml:space="preserve">　　</w:t>
      </w:r>
      <w:r w:rsidR="0085466C" w:rsidRPr="00FF100D">
        <w:rPr>
          <w:rFonts w:eastAsia="標楷體"/>
          <w:sz w:val="32"/>
          <w:szCs w:val="32"/>
        </w:rPr>
        <w:t>鑒於過去</w:t>
      </w:r>
      <w:r w:rsidR="0085466C" w:rsidRPr="00FF100D">
        <w:rPr>
          <w:rFonts w:eastAsia="標楷體"/>
          <w:sz w:val="32"/>
          <w:szCs w:val="32"/>
        </w:rPr>
        <w:t>ITA</w:t>
      </w:r>
      <w:r w:rsidR="0085466C" w:rsidRPr="00FF100D">
        <w:rPr>
          <w:rFonts w:eastAsia="標楷體"/>
          <w:sz w:val="32"/>
          <w:szCs w:val="32"/>
        </w:rPr>
        <w:t>協定對我資訊科技產品能免稅行銷世界主要市場扮演重要角色，推動</w:t>
      </w:r>
      <w:r w:rsidR="0085466C" w:rsidRPr="00FF100D">
        <w:rPr>
          <w:rFonts w:eastAsia="標楷體"/>
          <w:sz w:val="32"/>
          <w:szCs w:val="32"/>
        </w:rPr>
        <w:t>ITA</w:t>
      </w:r>
      <w:r w:rsidR="0085466C" w:rsidRPr="00FF100D">
        <w:rPr>
          <w:rFonts w:eastAsia="標楷體"/>
          <w:sz w:val="32"/>
          <w:szCs w:val="32"/>
        </w:rPr>
        <w:t>擴大談判對我國出口與產業發展相當重要，本部將一本主動積極之原則，持續與</w:t>
      </w:r>
      <w:r w:rsidR="0085466C" w:rsidRPr="00FF100D">
        <w:rPr>
          <w:rFonts w:eastAsia="標楷體"/>
          <w:sz w:val="32"/>
          <w:szCs w:val="32"/>
        </w:rPr>
        <w:t>ITA</w:t>
      </w:r>
      <w:r w:rsidR="0085466C" w:rsidRPr="00FF100D">
        <w:rPr>
          <w:rFonts w:eastAsia="標楷體"/>
          <w:sz w:val="32"/>
          <w:szCs w:val="32"/>
        </w:rPr>
        <w:t>相關會員合作，共同推動</w:t>
      </w:r>
      <w:r w:rsidR="0085466C" w:rsidRPr="00FF100D">
        <w:rPr>
          <w:rFonts w:eastAsia="標楷體"/>
          <w:sz w:val="32"/>
          <w:szCs w:val="32"/>
        </w:rPr>
        <w:t>ITA</w:t>
      </w:r>
      <w:r w:rsidR="0085466C" w:rsidRPr="00FF100D">
        <w:rPr>
          <w:rFonts w:eastAsia="標楷體"/>
          <w:sz w:val="32"/>
          <w:szCs w:val="32"/>
        </w:rPr>
        <w:t>擴大談判，盼能如期完成談判，為我業者再度成功地爭取更大之出口市場。</w:t>
      </w:r>
    </w:p>
    <w:p w:rsidR="00FF100D" w:rsidRPr="00FF100D" w:rsidRDefault="00FF100D" w:rsidP="00FF100D">
      <w:pPr>
        <w:widowControl/>
        <w:spacing w:line="500" w:lineRule="exact"/>
        <w:rPr>
          <w:rFonts w:eastAsia="標楷體"/>
          <w:sz w:val="32"/>
          <w:szCs w:val="32"/>
        </w:rPr>
      </w:pPr>
      <w:r w:rsidRPr="00FF100D">
        <w:rPr>
          <w:rFonts w:eastAsia="標楷體"/>
          <w:sz w:val="32"/>
          <w:szCs w:val="32"/>
        </w:rPr>
        <w:br w:type="page"/>
      </w:r>
    </w:p>
    <w:p w:rsidR="0085466C" w:rsidRDefault="00FF100D" w:rsidP="00FF100D">
      <w:pPr>
        <w:spacing w:line="500" w:lineRule="exact"/>
        <w:jc w:val="center"/>
        <w:rPr>
          <w:rFonts w:eastAsia="標楷體"/>
          <w:sz w:val="32"/>
          <w:szCs w:val="32"/>
        </w:rPr>
      </w:pPr>
      <w:r w:rsidRPr="00FF100D">
        <w:rPr>
          <w:rFonts w:eastAsia="標楷體"/>
          <w:sz w:val="32"/>
          <w:szCs w:val="32"/>
        </w:rPr>
        <w:t>資訊科技協定簡介</w:t>
      </w:r>
    </w:p>
    <w:p w:rsidR="00FF100D" w:rsidRPr="00FF100D" w:rsidRDefault="00FF100D" w:rsidP="00FF100D">
      <w:pPr>
        <w:spacing w:line="500" w:lineRule="exact"/>
        <w:jc w:val="center"/>
        <w:rPr>
          <w:rFonts w:eastAsia="標楷體"/>
          <w:sz w:val="32"/>
          <w:szCs w:val="32"/>
        </w:rPr>
      </w:pPr>
    </w:p>
    <w:p w:rsidR="00BC49A5" w:rsidRPr="00FF100D" w:rsidRDefault="00FF100D" w:rsidP="00C2544D">
      <w:pPr>
        <w:snapToGrid w:val="0"/>
        <w:spacing w:beforeLines="50" w:before="180" w:line="500" w:lineRule="exact"/>
        <w:jc w:val="both"/>
        <w:rPr>
          <w:rFonts w:eastAsia="標楷體"/>
          <w:sz w:val="32"/>
          <w:szCs w:val="32"/>
        </w:rPr>
      </w:pPr>
      <w:r w:rsidRPr="00FF100D">
        <w:rPr>
          <w:rFonts w:eastAsia="標楷體"/>
          <w:sz w:val="32"/>
          <w:szCs w:val="32"/>
        </w:rPr>
        <w:t>一</w:t>
      </w:r>
      <w:r w:rsidR="0085466C" w:rsidRPr="00FF100D">
        <w:rPr>
          <w:rFonts w:eastAsia="標楷體"/>
          <w:sz w:val="32"/>
          <w:szCs w:val="32"/>
        </w:rPr>
        <w:t>、</w:t>
      </w:r>
      <w:r w:rsidR="00BC49A5" w:rsidRPr="00FF100D">
        <w:rPr>
          <w:rFonts w:eastAsia="標楷體"/>
          <w:sz w:val="32"/>
          <w:szCs w:val="32"/>
        </w:rPr>
        <w:t>資訊科技協定</w:t>
      </w:r>
      <w:r w:rsidR="00817675" w:rsidRPr="00FF100D">
        <w:rPr>
          <w:rFonts w:eastAsia="標楷體"/>
          <w:sz w:val="32"/>
          <w:szCs w:val="32"/>
        </w:rPr>
        <w:t>過去</w:t>
      </w:r>
      <w:r w:rsidR="00817675" w:rsidRPr="00FF100D">
        <w:rPr>
          <w:rFonts w:eastAsia="標楷體"/>
          <w:sz w:val="32"/>
          <w:szCs w:val="32"/>
        </w:rPr>
        <w:t>15</w:t>
      </w:r>
      <w:r w:rsidR="00817675" w:rsidRPr="00FF100D">
        <w:rPr>
          <w:rFonts w:eastAsia="標楷體"/>
          <w:sz w:val="32"/>
          <w:szCs w:val="32"/>
        </w:rPr>
        <w:t>年之成果</w:t>
      </w:r>
    </w:p>
    <w:p w:rsidR="00817675" w:rsidRPr="00FF100D" w:rsidRDefault="00FF100D" w:rsidP="00C2544D">
      <w:pPr>
        <w:snapToGrid w:val="0"/>
        <w:spacing w:beforeLines="50" w:before="180" w:line="500" w:lineRule="exact"/>
        <w:jc w:val="both"/>
        <w:rPr>
          <w:rFonts w:eastAsia="標楷體"/>
          <w:sz w:val="32"/>
          <w:szCs w:val="32"/>
        </w:rPr>
      </w:pPr>
      <w:r>
        <w:rPr>
          <w:rFonts w:eastAsia="標楷體" w:hint="eastAsia"/>
          <w:sz w:val="32"/>
          <w:szCs w:val="32"/>
        </w:rPr>
        <w:t xml:space="preserve">　　</w:t>
      </w:r>
      <w:r w:rsidR="00BC49A5" w:rsidRPr="00FF100D">
        <w:rPr>
          <w:rFonts w:eastAsia="標楷體"/>
          <w:sz w:val="32"/>
          <w:szCs w:val="32"/>
        </w:rPr>
        <w:t>WTO</w:t>
      </w:r>
      <w:r w:rsidR="00BC49A5" w:rsidRPr="00FF100D">
        <w:rPr>
          <w:rFonts w:eastAsia="標楷體"/>
          <w:sz w:val="32"/>
          <w:szCs w:val="32"/>
        </w:rPr>
        <w:t>資訊科技協定</w:t>
      </w:r>
      <w:r w:rsidR="00BC49A5" w:rsidRPr="00FF100D">
        <w:rPr>
          <w:rFonts w:eastAsia="標楷體"/>
          <w:sz w:val="32"/>
          <w:szCs w:val="32"/>
        </w:rPr>
        <w:t>(Information Technology Agreement, ITA)</w:t>
      </w:r>
      <w:r w:rsidR="00BC49A5" w:rsidRPr="00FF100D">
        <w:rPr>
          <w:rFonts w:eastAsia="標楷體"/>
          <w:sz w:val="32"/>
          <w:szCs w:val="32"/>
        </w:rPr>
        <w:t>於</w:t>
      </w:r>
      <w:r w:rsidR="00BC49A5" w:rsidRPr="00FF100D">
        <w:rPr>
          <w:rFonts w:eastAsia="標楷體"/>
          <w:sz w:val="32"/>
          <w:szCs w:val="32"/>
        </w:rPr>
        <w:t>1996</w:t>
      </w:r>
      <w:r w:rsidR="00BC49A5" w:rsidRPr="00FF100D">
        <w:rPr>
          <w:rFonts w:eastAsia="標楷體"/>
          <w:sz w:val="32"/>
          <w:szCs w:val="32"/>
        </w:rPr>
        <w:t>年簽署，</w:t>
      </w:r>
      <w:r w:rsidR="00BC49A5" w:rsidRPr="00FF100D">
        <w:rPr>
          <w:rFonts w:eastAsia="標楷體"/>
          <w:sz w:val="32"/>
          <w:szCs w:val="32"/>
        </w:rPr>
        <w:t>1997</w:t>
      </w:r>
      <w:r w:rsidR="00BC49A5" w:rsidRPr="00FF100D">
        <w:rPr>
          <w:rFonts w:eastAsia="標楷體"/>
          <w:sz w:val="32"/>
          <w:szCs w:val="32"/>
        </w:rPr>
        <w:t>年生效，至今已</w:t>
      </w:r>
      <w:r w:rsidR="00BC49A5" w:rsidRPr="00FF100D">
        <w:rPr>
          <w:rFonts w:eastAsia="標楷體"/>
          <w:sz w:val="32"/>
          <w:szCs w:val="32"/>
        </w:rPr>
        <w:t>15</w:t>
      </w:r>
      <w:r w:rsidR="00BC49A5" w:rsidRPr="00FF100D">
        <w:rPr>
          <w:rFonts w:eastAsia="標楷體"/>
          <w:sz w:val="32"/>
          <w:szCs w:val="32"/>
        </w:rPr>
        <w:t>年，</w:t>
      </w:r>
      <w:r w:rsidR="00BC49A5" w:rsidRPr="00FF100D">
        <w:rPr>
          <w:rFonts w:eastAsia="標楷體"/>
          <w:sz w:val="32"/>
          <w:szCs w:val="32"/>
        </w:rPr>
        <w:t>ITA</w:t>
      </w:r>
      <w:r w:rsidR="00BC49A5" w:rsidRPr="00FF100D">
        <w:rPr>
          <w:rFonts w:eastAsia="標楷體"/>
          <w:sz w:val="32"/>
          <w:szCs w:val="32"/>
        </w:rPr>
        <w:t>協定對會員之資訊產品貿易自由化有卓著貢獻</w:t>
      </w:r>
      <w:r w:rsidR="00817675" w:rsidRPr="00FF100D">
        <w:rPr>
          <w:rFonts w:eastAsia="標楷體"/>
          <w:sz w:val="32"/>
          <w:szCs w:val="32"/>
        </w:rPr>
        <w:t>。</w:t>
      </w:r>
    </w:p>
    <w:p w:rsidR="00FF100D" w:rsidRDefault="00FF100D" w:rsidP="00C2544D">
      <w:pPr>
        <w:snapToGrid w:val="0"/>
        <w:spacing w:beforeLines="50" w:before="180" w:line="500" w:lineRule="exact"/>
        <w:jc w:val="both"/>
        <w:rPr>
          <w:rFonts w:eastAsia="標楷體"/>
          <w:sz w:val="32"/>
          <w:szCs w:val="32"/>
        </w:rPr>
      </w:pPr>
      <w:r>
        <w:rPr>
          <w:rFonts w:eastAsia="標楷體" w:hint="eastAsia"/>
          <w:sz w:val="32"/>
          <w:szCs w:val="32"/>
        </w:rPr>
        <w:t xml:space="preserve">　　</w:t>
      </w:r>
      <w:r w:rsidR="00817675" w:rsidRPr="00FF100D">
        <w:rPr>
          <w:rFonts w:eastAsia="標楷體"/>
          <w:sz w:val="32"/>
          <w:szCs w:val="32"/>
        </w:rPr>
        <w:t>ITA</w:t>
      </w:r>
      <w:r w:rsidR="00817675" w:rsidRPr="00FF100D">
        <w:rPr>
          <w:rFonts w:eastAsia="標楷體"/>
          <w:sz w:val="32"/>
          <w:szCs w:val="32"/>
        </w:rPr>
        <w:t>協定推動近十五年以來，一般而言已獲致下列三大成果：</w:t>
      </w:r>
    </w:p>
    <w:p w:rsidR="00817675" w:rsidRPr="00E800A2" w:rsidRDefault="00817675" w:rsidP="00E800A2">
      <w:pPr>
        <w:pStyle w:val="ae"/>
        <w:numPr>
          <w:ilvl w:val="0"/>
          <w:numId w:val="8"/>
        </w:numPr>
        <w:snapToGrid w:val="0"/>
        <w:spacing w:beforeLines="50" w:before="180" w:line="500" w:lineRule="exact"/>
        <w:ind w:leftChars="0"/>
        <w:jc w:val="both"/>
        <w:rPr>
          <w:rFonts w:eastAsia="標楷體" w:hint="eastAsia"/>
          <w:sz w:val="32"/>
          <w:szCs w:val="32"/>
        </w:rPr>
      </w:pPr>
      <w:r w:rsidRPr="00E800A2">
        <w:rPr>
          <w:rFonts w:eastAsia="標楷體"/>
          <w:sz w:val="32"/>
          <w:szCs w:val="32"/>
        </w:rPr>
        <w:t>參與國增加</w:t>
      </w:r>
      <w:r w:rsidR="00155ECC" w:rsidRPr="00E800A2">
        <w:rPr>
          <w:rFonts w:eastAsia="標楷體"/>
          <w:sz w:val="32"/>
          <w:szCs w:val="32"/>
        </w:rPr>
        <w:t>：會員數由</w:t>
      </w:r>
      <w:r w:rsidRPr="00E800A2">
        <w:rPr>
          <w:rFonts w:eastAsia="標楷體"/>
          <w:sz w:val="32"/>
          <w:szCs w:val="32"/>
        </w:rPr>
        <w:t>1997</w:t>
      </w:r>
      <w:r w:rsidRPr="00E800A2">
        <w:rPr>
          <w:rFonts w:eastAsia="標楷體"/>
          <w:sz w:val="32"/>
          <w:szCs w:val="32"/>
        </w:rPr>
        <w:t>年</w:t>
      </w:r>
      <w:r w:rsidR="00155ECC" w:rsidRPr="00E800A2">
        <w:rPr>
          <w:rFonts w:eastAsia="標楷體"/>
          <w:sz w:val="32"/>
          <w:szCs w:val="32"/>
        </w:rPr>
        <w:t>之</w:t>
      </w:r>
      <w:r w:rsidRPr="00E800A2">
        <w:rPr>
          <w:rFonts w:eastAsia="標楷體"/>
          <w:sz w:val="32"/>
          <w:szCs w:val="32"/>
        </w:rPr>
        <w:t>29</w:t>
      </w:r>
      <w:r w:rsidRPr="00E800A2">
        <w:rPr>
          <w:rFonts w:eastAsia="標楷體"/>
          <w:sz w:val="32"/>
          <w:szCs w:val="32"/>
        </w:rPr>
        <w:t>個會員</w:t>
      </w:r>
      <w:r w:rsidR="00155ECC" w:rsidRPr="00E800A2">
        <w:rPr>
          <w:rFonts w:eastAsia="標楷體"/>
          <w:sz w:val="32"/>
          <w:szCs w:val="32"/>
        </w:rPr>
        <w:t>增</w:t>
      </w:r>
      <w:r w:rsidRPr="00E800A2">
        <w:rPr>
          <w:rFonts w:eastAsia="標楷體"/>
          <w:sz w:val="32"/>
          <w:szCs w:val="32"/>
        </w:rPr>
        <w:t>至</w:t>
      </w:r>
      <w:r w:rsidR="00155ECC" w:rsidRPr="00E800A2">
        <w:rPr>
          <w:rFonts w:eastAsia="標楷體"/>
          <w:sz w:val="32"/>
          <w:szCs w:val="32"/>
        </w:rPr>
        <w:t>74</w:t>
      </w:r>
      <w:r w:rsidRPr="00E800A2">
        <w:rPr>
          <w:rFonts w:eastAsia="標楷體"/>
          <w:sz w:val="32"/>
          <w:szCs w:val="32"/>
        </w:rPr>
        <w:t>個</w:t>
      </w:r>
      <w:r w:rsidR="00155ECC" w:rsidRPr="00E800A2">
        <w:rPr>
          <w:rFonts w:eastAsia="標楷體"/>
          <w:sz w:val="32"/>
          <w:szCs w:val="32"/>
        </w:rPr>
        <w:t>會員，其</w:t>
      </w:r>
      <w:r w:rsidRPr="00E800A2">
        <w:rPr>
          <w:rFonts w:eastAsia="標楷體"/>
          <w:sz w:val="32"/>
          <w:szCs w:val="32"/>
        </w:rPr>
        <w:t>所占全球資訊科技產品貿易量約</w:t>
      </w:r>
      <w:r w:rsidRPr="00E800A2">
        <w:rPr>
          <w:rFonts w:eastAsia="標楷體"/>
          <w:sz w:val="32"/>
          <w:szCs w:val="32"/>
        </w:rPr>
        <w:t>97%</w:t>
      </w:r>
      <w:r w:rsidRPr="00E800A2">
        <w:rPr>
          <w:rFonts w:eastAsia="標楷體"/>
          <w:sz w:val="32"/>
          <w:szCs w:val="32"/>
        </w:rPr>
        <w:t>。</w:t>
      </w:r>
    </w:p>
    <w:p w:rsidR="00817675" w:rsidRDefault="00817675" w:rsidP="00E800A2">
      <w:pPr>
        <w:pStyle w:val="ae"/>
        <w:numPr>
          <w:ilvl w:val="0"/>
          <w:numId w:val="8"/>
        </w:numPr>
        <w:snapToGrid w:val="0"/>
        <w:spacing w:beforeLines="50" w:before="180" w:line="500" w:lineRule="exact"/>
        <w:ind w:leftChars="0"/>
        <w:jc w:val="both"/>
        <w:rPr>
          <w:rFonts w:eastAsia="標楷體" w:hint="eastAsia"/>
          <w:sz w:val="32"/>
          <w:szCs w:val="32"/>
        </w:rPr>
      </w:pPr>
      <w:r w:rsidRPr="00E800A2">
        <w:rPr>
          <w:rFonts w:eastAsia="標楷體"/>
          <w:sz w:val="32"/>
          <w:szCs w:val="32"/>
        </w:rPr>
        <w:t>投資誘因提高</w:t>
      </w:r>
      <w:r w:rsidR="00155ECC" w:rsidRPr="00E800A2">
        <w:rPr>
          <w:rFonts w:eastAsia="標楷體"/>
          <w:sz w:val="32"/>
          <w:szCs w:val="32"/>
        </w:rPr>
        <w:t>：</w:t>
      </w:r>
      <w:r w:rsidRPr="00E800A2">
        <w:rPr>
          <w:rFonts w:eastAsia="標楷體"/>
          <w:sz w:val="32"/>
          <w:szCs w:val="32"/>
        </w:rPr>
        <w:t>ITA</w:t>
      </w:r>
      <w:r w:rsidRPr="00E800A2">
        <w:rPr>
          <w:rFonts w:eastAsia="標楷體"/>
          <w:sz w:val="32"/>
          <w:szCs w:val="32"/>
        </w:rPr>
        <w:t>協定將資訊、通訊、半導體、電子零組件等電子產業及半導體製程設備業之上下游產品之關稅調降為零，使資訊科技產品享有零關稅</w:t>
      </w:r>
      <w:r w:rsidR="00155ECC" w:rsidRPr="00E800A2">
        <w:rPr>
          <w:rFonts w:eastAsia="標楷體"/>
          <w:sz w:val="32"/>
          <w:szCs w:val="32"/>
        </w:rPr>
        <w:t>之待遇</w:t>
      </w:r>
      <w:r w:rsidRPr="00E800A2">
        <w:rPr>
          <w:rFonts w:eastAsia="標楷體"/>
          <w:sz w:val="32"/>
          <w:szCs w:val="32"/>
        </w:rPr>
        <w:t>下，</w:t>
      </w:r>
      <w:r w:rsidR="00155ECC" w:rsidRPr="00E800A2">
        <w:rPr>
          <w:rFonts w:eastAsia="標楷體"/>
          <w:sz w:val="32"/>
          <w:szCs w:val="32"/>
        </w:rPr>
        <w:t>科技業者</w:t>
      </w:r>
      <w:r w:rsidRPr="00E800A2">
        <w:rPr>
          <w:rFonts w:eastAsia="標楷體"/>
          <w:sz w:val="32"/>
          <w:szCs w:val="32"/>
        </w:rPr>
        <w:t>更易取得零組件，投資成本大幅下降，創造相關投資市場之可預期性與穩定性，帶動整體資訊產業的投資意願。</w:t>
      </w:r>
    </w:p>
    <w:p w:rsidR="00FE02BD" w:rsidRDefault="00817675" w:rsidP="00E800A2">
      <w:pPr>
        <w:pStyle w:val="ae"/>
        <w:numPr>
          <w:ilvl w:val="0"/>
          <w:numId w:val="8"/>
        </w:numPr>
        <w:snapToGrid w:val="0"/>
        <w:spacing w:beforeLines="50" w:before="180" w:line="500" w:lineRule="exact"/>
        <w:ind w:leftChars="0"/>
        <w:jc w:val="both"/>
        <w:rPr>
          <w:rFonts w:eastAsia="標楷體" w:hint="eastAsia"/>
          <w:sz w:val="32"/>
          <w:szCs w:val="32"/>
        </w:rPr>
      </w:pPr>
      <w:r w:rsidRPr="00E800A2">
        <w:rPr>
          <w:rFonts w:eastAsia="標楷體"/>
          <w:sz w:val="32"/>
          <w:szCs w:val="32"/>
        </w:rPr>
        <w:t>貿易量擴大</w:t>
      </w:r>
      <w:r w:rsidR="00155ECC" w:rsidRPr="00E800A2">
        <w:rPr>
          <w:rFonts w:eastAsia="標楷體"/>
          <w:sz w:val="32"/>
          <w:szCs w:val="32"/>
        </w:rPr>
        <w:t>：</w:t>
      </w:r>
    </w:p>
    <w:p w:rsidR="00155ECC" w:rsidRDefault="00155ECC" w:rsidP="00FE02BD">
      <w:pPr>
        <w:pStyle w:val="ae"/>
        <w:numPr>
          <w:ilvl w:val="3"/>
          <w:numId w:val="7"/>
        </w:numPr>
        <w:snapToGrid w:val="0"/>
        <w:spacing w:beforeLines="50" w:before="180" w:line="500" w:lineRule="exact"/>
        <w:ind w:leftChars="0" w:left="993" w:hanging="567"/>
        <w:jc w:val="both"/>
        <w:rPr>
          <w:rFonts w:eastAsia="標楷體" w:hint="eastAsia"/>
          <w:sz w:val="32"/>
          <w:szCs w:val="32"/>
        </w:rPr>
      </w:pPr>
      <w:r w:rsidRPr="00E800A2">
        <w:rPr>
          <w:rFonts w:eastAsia="標楷體"/>
          <w:sz w:val="32"/>
          <w:szCs w:val="32"/>
        </w:rPr>
        <w:t>依據</w:t>
      </w:r>
      <w:r w:rsidRPr="00E800A2">
        <w:rPr>
          <w:rFonts w:eastAsia="標楷體"/>
          <w:sz w:val="32"/>
          <w:szCs w:val="32"/>
        </w:rPr>
        <w:t>WTO</w:t>
      </w:r>
      <w:r w:rsidRPr="00E800A2">
        <w:rPr>
          <w:rFonts w:eastAsia="標楷體"/>
          <w:sz w:val="32"/>
          <w:szCs w:val="32"/>
        </w:rPr>
        <w:t>之統計資料，全球</w:t>
      </w:r>
      <w:r w:rsidRPr="00E800A2">
        <w:rPr>
          <w:rFonts w:eastAsia="標楷體"/>
          <w:sz w:val="32"/>
          <w:szCs w:val="32"/>
        </w:rPr>
        <w:t>IT</w:t>
      </w:r>
      <w:r w:rsidRPr="00E800A2">
        <w:rPr>
          <w:rFonts w:eastAsia="標楷體"/>
          <w:sz w:val="32"/>
          <w:szCs w:val="32"/>
        </w:rPr>
        <w:t>產品出口貿易量於</w:t>
      </w:r>
      <w:r w:rsidRPr="00E800A2">
        <w:rPr>
          <w:rFonts w:eastAsia="標楷體"/>
          <w:sz w:val="32"/>
          <w:szCs w:val="32"/>
        </w:rPr>
        <w:t>1988</w:t>
      </w:r>
      <w:r w:rsidRPr="00E800A2">
        <w:rPr>
          <w:rFonts w:eastAsia="標楷體"/>
          <w:sz w:val="32"/>
          <w:szCs w:val="32"/>
        </w:rPr>
        <w:t>至</w:t>
      </w:r>
      <w:r w:rsidRPr="00E800A2">
        <w:rPr>
          <w:rFonts w:eastAsia="標楷體"/>
          <w:sz w:val="32"/>
          <w:szCs w:val="32"/>
        </w:rPr>
        <w:t>2011</w:t>
      </w:r>
      <w:r w:rsidRPr="00E800A2">
        <w:rPr>
          <w:rFonts w:eastAsia="標楷體"/>
          <w:sz w:val="32"/>
          <w:szCs w:val="32"/>
        </w:rPr>
        <w:t>年間大幅成長，</w:t>
      </w:r>
      <w:r w:rsidRPr="00E800A2">
        <w:rPr>
          <w:rFonts w:eastAsia="標楷體"/>
          <w:sz w:val="32"/>
          <w:szCs w:val="32"/>
        </w:rPr>
        <w:t>2007</w:t>
      </w:r>
      <w:r w:rsidRPr="00E800A2">
        <w:rPr>
          <w:rFonts w:eastAsia="標楷體"/>
          <w:sz w:val="32"/>
          <w:szCs w:val="32"/>
        </w:rPr>
        <w:t>年</w:t>
      </w:r>
      <w:r w:rsidRPr="00E800A2">
        <w:rPr>
          <w:rFonts w:eastAsia="標楷體"/>
          <w:sz w:val="32"/>
          <w:szCs w:val="32"/>
        </w:rPr>
        <w:t>-2009</w:t>
      </w:r>
      <w:r w:rsidRPr="00E800A2">
        <w:rPr>
          <w:rFonts w:eastAsia="標楷體"/>
          <w:sz w:val="32"/>
          <w:szCs w:val="32"/>
        </w:rPr>
        <w:t>年因金融海嘯呈現跌幅，</w:t>
      </w:r>
      <w:r w:rsidRPr="00E800A2">
        <w:rPr>
          <w:rFonts w:eastAsia="標楷體"/>
          <w:sz w:val="32"/>
          <w:szCs w:val="32"/>
        </w:rPr>
        <w:t>2010</w:t>
      </w:r>
      <w:r w:rsidRPr="00E800A2">
        <w:rPr>
          <w:rFonts w:eastAsia="標楷體"/>
          <w:sz w:val="32"/>
          <w:szCs w:val="32"/>
        </w:rPr>
        <w:t>年後之出口貿易量仍達</w:t>
      </w:r>
      <w:r w:rsidRPr="00E800A2">
        <w:rPr>
          <w:rFonts w:eastAsia="標楷體"/>
          <w:sz w:val="32"/>
          <w:szCs w:val="32"/>
        </w:rPr>
        <w:t>1.6</w:t>
      </w:r>
      <w:r w:rsidRPr="00E800A2">
        <w:rPr>
          <w:rFonts w:eastAsia="標楷體"/>
          <w:sz w:val="32"/>
          <w:szCs w:val="32"/>
        </w:rPr>
        <w:t>兆美元以上成長；</w:t>
      </w:r>
    </w:p>
    <w:p w:rsidR="00155ECC" w:rsidRDefault="00155ECC" w:rsidP="00FE02BD">
      <w:pPr>
        <w:pStyle w:val="ae"/>
        <w:numPr>
          <w:ilvl w:val="3"/>
          <w:numId w:val="7"/>
        </w:numPr>
        <w:snapToGrid w:val="0"/>
        <w:spacing w:beforeLines="50" w:before="180" w:line="500" w:lineRule="exact"/>
        <w:ind w:leftChars="0" w:left="993" w:hanging="567"/>
        <w:jc w:val="both"/>
        <w:rPr>
          <w:rFonts w:eastAsia="標楷體" w:hint="eastAsia"/>
          <w:sz w:val="32"/>
          <w:szCs w:val="32"/>
        </w:rPr>
      </w:pPr>
      <w:r w:rsidRPr="00FE02BD">
        <w:rPr>
          <w:rFonts w:eastAsia="標楷體"/>
          <w:sz w:val="32"/>
          <w:szCs w:val="32"/>
        </w:rPr>
        <w:t>台灣</w:t>
      </w:r>
      <w:r w:rsidRPr="00FE02BD">
        <w:rPr>
          <w:rFonts w:eastAsia="標楷體"/>
          <w:sz w:val="32"/>
          <w:szCs w:val="32"/>
        </w:rPr>
        <w:t>ITA</w:t>
      </w:r>
      <w:r w:rsidRPr="00FE02BD">
        <w:rPr>
          <w:rFonts w:eastAsia="標楷體"/>
          <w:sz w:val="32"/>
          <w:szCs w:val="32"/>
        </w:rPr>
        <w:t>產品出口貿易趨勢和全球變化一致，</w:t>
      </w:r>
      <w:r w:rsidRPr="00FE02BD">
        <w:rPr>
          <w:rFonts w:eastAsia="標楷體"/>
          <w:sz w:val="32"/>
          <w:szCs w:val="32"/>
        </w:rPr>
        <w:t>2010</w:t>
      </w:r>
      <w:r w:rsidRPr="00FE02BD">
        <w:rPr>
          <w:rFonts w:eastAsia="標楷體"/>
          <w:sz w:val="32"/>
          <w:szCs w:val="32"/>
        </w:rPr>
        <w:t>年後之出口貿易量仍達</w:t>
      </w:r>
      <w:r w:rsidRPr="00FE02BD">
        <w:rPr>
          <w:rFonts w:eastAsia="標楷體"/>
          <w:sz w:val="32"/>
          <w:szCs w:val="32"/>
        </w:rPr>
        <w:t>800</w:t>
      </w:r>
      <w:r w:rsidRPr="00FE02BD">
        <w:rPr>
          <w:rFonts w:eastAsia="標楷體"/>
          <w:sz w:val="32"/>
          <w:szCs w:val="32"/>
        </w:rPr>
        <w:t>億美元以上成長</w:t>
      </w:r>
      <w:r w:rsidRPr="00FE02BD">
        <w:rPr>
          <w:rFonts w:eastAsia="標楷體"/>
          <w:sz w:val="32"/>
          <w:szCs w:val="32"/>
        </w:rPr>
        <w:t>(</w:t>
      </w:r>
      <w:r w:rsidRPr="00FE02BD">
        <w:rPr>
          <w:rFonts w:eastAsia="標楷體"/>
          <w:sz w:val="32"/>
          <w:szCs w:val="32"/>
        </w:rPr>
        <w:t>如圖</w:t>
      </w:r>
      <w:r w:rsidRPr="00FE02BD">
        <w:rPr>
          <w:rFonts w:eastAsia="標楷體"/>
          <w:sz w:val="32"/>
          <w:szCs w:val="32"/>
        </w:rPr>
        <w:t>1)</w:t>
      </w:r>
      <w:r w:rsidRPr="00FE02BD">
        <w:rPr>
          <w:rFonts w:eastAsia="標楷體"/>
          <w:sz w:val="32"/>
          <w:szCs w:val="32"/>
        </w:rPr>
        <w:t>，足以顯示台灣在</w:t>
      </w:r>
      <w:r w:rsidRPr="00FE02BD">
        <w:rPr>
          <w:rFonts w:eastAsia="標楷體"/>
          <w:sz w:val="32"/>
          <w:szCs w:val="32"/>
        </w:rPr>
        <w:t>ITA</w:t>
      </w:r>
      <w:r w:rsidRPr="00FE02BD">
        <w:rPr>
          <w:rFonts w:eastAsia="標楷體"/>
          <w:sz w:val="32"/>
          <w:szCs w:val="32"/>
        </w:rPr>
        <w:t>產品貿易與全球的關聯密切。</w:t>
      </w:r>
    </w:p>
    <w:p w:rsidR="00155ECC" w:rsidRPr="00FE02BD" w:rsidRDefault="00155ECC" w:rsidP="00FE02BD">
      <w:pPr>
        <w:pStyle w:val="ae"/>
        <w:numPr>
          <w:ilvl w:val="3"/>
          <w:numId w:val="7"/>
        </w:numPr>
        <w:snapToGrid w:val="0"/>
        <w:spacing w:beforeLines="50" w:before="180" w:line="500" w:lineRule="exact"/>
        <w:ind w:leftChars="0" w:left="993" w:hanging="567"/>
        <w:jc w:val="both"/>
        <w:rPr>
          <w:rFonts w:eastAsia="標楷體"/>
          <w:sz w:val="32"/>
          <w:szCs w:val="32"/>
        </w:rPr>
      </w:pPr>
      <w:r w:rsidRPr="00FE02BD">
        <w:rPr>
          <w:rFonts w:eastAsia="標楷體"/>
          <w:sz w:val="32"/>
          <w:szCs w:val="32"/>
        </w:rPr>
        <w:t>另依據</w:t>
      </w:r>
      <w:r w:rsidRPr="00FE02BD">
        <w:rPr>
          <w:rFonts w:eastAsia="標楷體"/>
          <w:sz w:val="32"/>
          <w:szCs w:val="32"/>
        </w:rPr>
        <w:t>WTO</w:t>
      </w:r>
      <w:r w:rsidRPr="00FE02BD">
        <w:rPr>
          <w:rFonts w:eastAsia="標楷體"/>
          <w:sz w:val="32"/>
          <w:szCs w:val="32"/>
        </w:rPr>
        <w:t>秘書處於</w:t>
      </w:r>
      <w:r w:rsidRPr="00FE02BD">
        <w:rPr>
          <w:rFonts w:eastAsia="標楷體"/>
          <w:sz w:val="32"/>
          <w:szCs w:val="32"/>
        </w:rPr>
        <w:t>2012</w:t>
      </w:r>
      <w:r w:rsidRPr="00FE02BD">
        <w:rPr>
          <w:rFonts w:eastAsia="標楷體"/>
          <w:sz w:val="32"/>
          <w:szCs w:val="32"/>
        </w:rPr>
        <w:t>年有關</w:t>
      </w:r>
      <w:r w:rsidRPr="00FE02BD">
        <w:rPr>
          <w:rFonts w:eastAsia="標楷體"/>
          <w:sz w:val="32"/>
          <w:szCs w:val="32"/>
        </w:rPr>
        <w:t>ITA</w:t>
      </w:r>
      <w:r w:rsidRPr="00FE02BD">
        <w:rPr>
          <w:rFonts w:eastAsia="標楷體"/>
          <w:sz w:val="32"/>
          <w:szCs w:val="32"/>
        </w:rPr>
        <w:t>十五年成效回顧資料顯示，全球製造業出口貿易量的</w:t>
      </w:r>
      <w:r w:rsidRPr="00FE02BD">
        <w:rPr>
          <w:rFonts w:eastAsia="標楷體"/>
          <w:sz w:val="32"/>
          <w:szCs w:val="32"/>
        </w:rPr>
        <w:t>12%</w:t>
      </w:r>
      <w:r w:rsidRPr="00FE02BD">
        <w:rPr>
          <w:rFonts w:eastAsia="標楷體"/>
          <w:sz w:val="32"/>
          <w:szCs w:val="32"/>
        </w:rPr>
        <w:t>為</w:t>
      </w:r>
      <w:r w:rsidRPr="00FE02BD">
        <w:rPr>
          <w:rFonts w:eastAsia="標楷體"/>
          <w:sz w:val="32"/>
          <w:szCs w:val="32"/>
        </w:rPr>
        <w:t>ITA</w:t>
      </w:r>
      <w:r w:rsidRPr="00FE02BD">
        <w:rPr>
          <w:rFonts w:eastAsia="標楷體"/>
          <w:sz w:val="32"/>
          <w:szCs w:val="32"/>
        </w:rPr>
        <w:t>產品</w:t>
      </w:r>
      <w:r w:rsidRPr="00FE02BD">
        <w:rPr>
          <w:rFonts w:eastAsia="標楷體"/>
          <w:sz w:val="32"/>
          <w:szCs w:val="32"/>
        </w:rPr>
        <w:t>(2010</w:t>
      </w:r>
      <w:r w:rsidRPr="00FE02BD">
        <w:rPr>
          <w:rFonts w:eastAsia="標楷體"/>
          <w:sz w:val="32"/>
          <w:szCs w:val="32"/>
        </w:rPr>
        <w:t>年</w:t>
      </w:r>
      <w:r w:rsidRPr="00FE02BD">
        <w:rPr>
          <w:rFonts w:eastAsia="標楷體"/>
          <w:sz w:val="32"/>
          <w:szCs w:val="32"/>
        </w:rPr>
        <w:t>)</w:t>
      </w:r>
      <w:r w:rsidRPr="00FE02BD">
        <w:rPr>
          <w:rFonts w:eastAsia="標楷體"/>
          <w:sz w:val="32"/>
          <w:szCs w:val="32"/>
        </w:rPr>
        <w:t>，出口額由</w:t>
      </w:r>
      <w:r w:rsidRPr="00FE02BD">
        <w:rPr>
          <w:rFonts w:eastAsia="標楷體"/>
          <w:sz w:val="32"/>
          <w:szCs w:val="32"/>
        </w:rPr>
        <w:t>1997</w:t>
      </w:r>
      <w:r w:rsidRPr="00FE02BD">
        <w:rPr>
          <w:rFonts w:eastAsia="標楷體"/>
          <w:sz w:val="32"/>
          <w:szCs w:val="32"/>
        </w:rPr>
        <w:t>年</w:t>
      </w:r>
      <w:r w:rsidRPr="00FE02BD">
        <w:rPr>
          <w:rFonts w:eastAsia="標楷體"/>
          <w:sz w:val="32"/>
          <w:szCs w:val="32"/>
        </w:rPr>
        <w:t>ITA</w:t>
      </w:r>
      <w:r w:rsidRPr="00FE02BD">
        <w:rPr>
          <w:rFonts w:eastAsia="標楷體"/>
          <w:sz w:val="32"/>
          <w:szCs w:val="32"/>
        </w:rPr>
        <w:t>協定生效時的</w:t>
      </w:r>
      <w:r w:rsidRPr="00FE02BD">
        <w:rPr>
          <w:rFonts w:eastAsia="標楷體"/>
          <w:sz w:val="32"/>
          <w:szCs w:val="32"/>
        </w:rPr>
        <w:t>6,000</w:t>
      </w:r>
      <w:r w:rsidRPr="00FE02BD">
        <w:rPr>
          <w:rFonts w:eastAsia="標楷體"/>
          <w:sz w:val="32"/>
          <w:szCs w:val="32"/>
        </w:rPr>
        <w:t>億美元，大幅提高至</w:t>
      </w:r>
      <w:r w:rsidRPr="00FE02BD">
        <w:rPr>
          <w:rFonts w:eastAsia="標楷體"/>
          <w:sz w:val="32"/>
          <w:szCs w:val="32"/>
        </w:rPr>
        <w:t>2010</w:t>
      </w:r>
      <w:r w:rsidRPr="00FE02BD">
        <w:rPr>
          <w:rFonts w:eastAsia="標楷體"/>
          <w:sz w:val="32"/>
          <w:szCs w:val="32"/>
        </w:rPr>
        <w:t>年的</w:t>
      </w:r>
      <w:r w:rsidRPr="00FE02BD">
        <w:rPr>
          <w:rFonts w:eastAsia="標楷體"/>
          <w:sz w:val="32"/>
          <w:szCs w:val="32"/>
        </w:rPr>
        <w:t>1.4</w:t>
      </w:r>
      <w:r w:rsidRPr="00FE02BD">
        <w:rPr>
          <w:rFonts w:eastAsia="標楷體"/>
          <w:sz w:val="32"/>
          <w:szCs w:val="32"/>
        </w:rPr>
        <w:t>兆美元。</w:t>
      </w:r>
    </w:p>
    <w:p w:rsidR="00155ECC" w:rsidRPr="00155ECC" w:rsidRDefault="00155ECC" w:rsidP="00155ECC">
      <w:pPr>
        <w:snapToGrid w:val="0"/>
        <w:spacing w:line="400" w:lineRule="exact"/>
        <w:jc w:val="both"/>
        <w:rPr>
          <w:rFonts w:eastAsia="標楷體"/>
          <w:sz w:val="28"/>
        </w:rPr>
      </w:pPr>
    </w:p>
    <w:p w:rsidR="00155ECC" w:rsidRPr="00732269" w:rsidRDefault="00155ECC" w:rsidP="00155ECC">
      <w:pPr>
        <w:jc w:val="center"/>
        <w:rPr>
          <w:rFonts w:ascii="標楷體" w:eastAsia="標楷體" w:cs="標楷體"/>
          <w:sz w:val="28"/>
          <w:szCs w:val="28"/>
        </w:rPr>
      </w:pPr>
      <w:r w:rsidRPr="00732269">
        <w:rPr>
          <w:rFonts w:eastAsia="標楷體" w:hAnsi="標楷體"/>
          <w:sz w:val="28"/>
          <w:szCs w:val="28"/>
        </w:rPr>
        <w:t>圖</w:t>
      </w:r>
      <w:r w:rsidRPr="00732269">
        <w:rPr>
          <w:rFonts w:eastAsia="標楷體"/>
          <w:sz w:val="28"/>
          <w:szCs w:val="28"/>
        </w:rPr>
        <w:t>1</w:t>
      </w:r>
      <w:r w:rsidRPr="00732269">
        <w:rPr>
          <w:rFonts w:eastAsia="標楷體" w:hAnsi="標楷體"/>
          <w:sz w:val="28"/>
          <w:szCs w:val="28"/>
        </w:rPr>
        <w:t>：全球</w:t>
      </w:r>
      <w:r w:rsidRPr="00732269">
        <w:rPr>
          <w:rFonts w:eastAsia="標楷體" w:hAnsi="標楷體" w:hint="eastAsia"/>
          <w:sz w:val="28"/>
          <w:szCs w:val="28"/>
        </w:rPr>
        <w:t>及台灣</w:t>
      </w:r>
      <w:r w:rsidRPr="00732269">
        <w:rPr>
          <w:rFonts w:eastAsia="標楷體"/>
          <w:sz w:val="28"/>
          <w:szCs w:val="28"/>
        </w:rPr>
        <w:t>IT</w:t>
      </w:r>
      <w:r w:rsidRPr="00732269">
        <w:rPr>
          <w:rFonts w:eastAsia="標楷體" w:hAnsi="標楷體"/>
          <w:sz w:val="28"/>
          <w:szCs w:val="28"/>
        </w:rPr>
        <w:t>產品出口貿易量</w:t>
      </w:r>
      <w:r w:rsidRPr="00732269">
        <w:rPr>
          <w:rFonts w:eastAsia="標楷體"/>
          <w:sz w:val="28"/>
          <w:szCs w:val="28"/>
        </w:rPr>
        <w:t>(1988-20</w:t>
      </w:r>
      <w:r w:rsidRPr="00732269">
        <w:rPr>
          <w:rFonts w:eastAsia="標楷體" w:hint="eastAsia"/>
          <w:sz w:val="28"/>
          <w:szCs w:val="28"/>
        </w:rPr>
        <w:t>11</w:t>
      </w:r>
      <w:r w:rsidRPr="00732269">
        <w:rPr>
          <w:rFonts w:eastAsia="標楷體"/>
          <w:sz w:val="28"/>
          <w:szCs w:val="28"/>
        </w:rPr>
        <w:t>)</w:t>
      </w:r>
      <w:r w:rsidRPr="00732269">
        <w:rPr>
          <w:noProof/>
        </w:rPr>
        <w:t xml:space="preserve"> </w:t>
      </w:r>
    </w:p>
    <w:p w:rsidR="00155ECC" w:rsidRPr="00732269" w:rsidRDefault="00155ECC" w:rsidP="00155ECC">
      <w:pPr>
        <w:jc w:val="right"/>
        <w:rPr>
          <w:rFonts w:eastAsia="標楷體"/>
        </w:rPr>
      </w:pPr>
      <w:r w:rsidRPr="00732269">
        <w:rPr>
          <w:rFonts w:ascii="標楷體" w:eastAsia="標楷體" w:cs="標楷體" w:hint="eastAsia"/>
        </w:rPr>
        <w:t>金額(億美元/</w:t>
      </w:r>
      <w:proofErr w:type="gramStart"/>
      <w:r w:rsidRPr="00732269">
        <w:rPr>
          <w:rFonts w:ascii="標楷體" w:eastAsia="標楷體" w:cs="標楷體" w:hint="eastAsia"/>
        </w:rPr>
        <w:t>左軸</w:t>
      </w:r>
      <w:proofErr w:type="gramEnd"/>
      <w:r w:rsidRPr="00732269">
        <w:rPr>
          <w:rFonts w:ascii="標楷體" w:eastAsia="標楷體" w:cs="標楷體" w:hint="eastAsia"/>
        </w:rPr>
        <w:t>:全球；</w:t>
      </w:r>
      <w:proofErr w:type="gramStart"/>
      <w:r w:rsidRPr="00732269">
        <w:rPr>
          <w:rFonts w:ascii="標楷體" w:eastAsia="標楷體" w:cs="標楷體" w:hint="eastAsia"/>
        </w:rPr>
        <w:t>右軸</w:t>
      </w:r>
      <w:proofErr w:type="gramEnd"/>
      <w:r w:rsidRPr="00732269">
        <w:rPr>
          <w:rFonts w:ascii="標楷體" w:eastAsia="標楷體" w:cs="標楷體" w:hint="eastAsia"/>
        </w:rPr>
        <w:t>:台灣)</w:t>
      </w:r>
      <w:r w:rsidRPr="00732269">
        <w:rPr>
          <w:noProof/>
        </w:rPr>
        <w:t xml:space="preserve"> </w:t>
      </w:r>
      <w:r w:rsidRPr="00732269">
        <w:rPr>
          <w:noProof/>
          <w:sz w:val="16"/>
          <w:szCs w:val="16"/>
        </w:rPr>
        <w:drawing>
          <wp:inline distT="0" distB="0" distL="0" distR="0" wp14:anchorId="5301FC69" wp14:editId="0E3D2D87">
            <wp:extent cx="6049925" cy="3444949"/>
            <wp:effectExtent l="0" t="0" r="27305" b="22225"/>
            <wp:docPr id="14" name="圖表 14"/>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rsidR="00155ECC" w:rsidRPr="00732269" w:rsidRDefault="00155ECC" w:rsidP="00155ECC">
      <w:pPr>
        <w:spacing w:before="50" w:line="400" w:lineRule="exact"/>
        <w:ind w:firstLine="480"/>
        <w:rPr>
          <w:rFonts w:eastAsia="標楷體"/>
          <w:sz w:val="28"/>
        </w:rPr>
      </w:pPr>
      <w:r w:rsidRPr="00732269">
        <w:rPr>
          <w:rFonts w:ascii="標楷體" w:eastAsia="標楷體" w:hAnsi="標楷體" w:hint="eastAsia"/>
        </w:rPr>
        <w:t>資料來源:International Trade Statistics 2012,WTO。</w:t>
      </w:r>
    </w:p>
    <w:p w:rsidR="006C56A3" w:rsidRPr="00A3517D" w:rsidRDefault="006C56A3" w:rsidP="00DC0F51">
      <w:pPr>
        <w:snapToGrid w:val="0"/>
        <w:spacing w:line="400" w:lineRule="exact"/>
        <w:jc w:val="both"/>
        <w:rPr>
          <w:rFonts w:eastAsia="標楷體"/>
          <w:sz w:val="28"/>
          <w:szCs w:val="28"/>
        </w:rPr>
      </w:pPr>
    </w:p>
    <w:p w:rsidR="00C46DF0" w:rsidRPr="00FF100D" w:rsidRDefault="00C46DF0" w:rsidP="00C2544D">
      <w:pPr>
        <w:snapToGrid w:val="0"/>
        <w:spacing w:beforeLines="50" w:before="180" w:line="500" w:lineRule="exact"/>
        <w:jc w:val="both"/>
        <w:rPr>
          <w:rFonts w:eastAsia="標楷體"/>
          <w:sz w:val="32"/>
          <w:szCs w:val="32"/>
        </w:rPr>
      </w:pPr>
      <w:r w:rsidRPr="00FF100D">
        <w:rPr>
          <w:rFonts w:eastAsia="標楷體"/>
          <w:sz w:val="32"/>
          <w:szCs w:val="32"/>
        </w:rPr>
        <w:t>二、</w:t>
      </w:r>
      <w:r w:rsidR="00A3517D" w:rsidRPr="00FF100D">
        <w:rPr>
          <w:rFonts w:eastAsia="標楷體"/>
          <w:sz w:val="32"/>
          <w:szCs w:val="32"/>
        </w:rPr>
        <w:t>ITA</w:t>
      </w:r>
      <w:r w:rsidR="003041AC" w:rsidRPr="00FF100D">
        <w:rPr>
          <w:rFonts w:eastAsia="標楷體" w:hint="eastAsia"/>
          <w:sz w:val="32"/>
          <w:szCs w:val="32"/>
        </w:rPr>
        <w:t>協定</w:t>
      </w:r>
      <w:r w:rsidR="00552AC8" w:rsidRPr="00FF100D">
        <w:rPr>
          <w:rFonts w:eastAsia="標楷體" w:hint="eastAsia"/>
          <w:sz w:val="32"/>
          <w:szCs w:val="32"/>
        </w:rPr>
        <w:t>對</w:t>
      </w:r>
      <w:r w:rsidR="00A3517D" w:rsidRPr="00FF100D">
        <w:rPr>
          <w:rFonts w:eastAsia="標楷體"/>
          <w:sz w:val="32"/>
          <w:szCs w:val="32"/>
        </w:rPr>
        <w:t>我國</w:t>
      </w:r>
      <w:r w:rsidR="00552AC8" w:rsidRPr="00FF100D">
        <w:rPr>
          <w:rFonts w:eastAsia="標楷體" w:hint="eastAsia"/>
          <w:sz w:val="32"/>
          <w:szCs w:val="32"/>
        </w:rPr>
        <w:t>產業發展之重要性</w:t>
      </w:r>
    </w:p>
    <w:p w:rsidR="003041AC" w:rsidRPr="00FF100D" w:rsidRDefault="003041AC" w:rsidP="00C2544D">
      <w:pPr>
        <w:snapToGrid w:val="0"/>
        <w:spacing w:beforeLines="50" w:before="180" w:line="500" w:lineRule="exact"/>
        <w:jc w:val="both"/>
        <w:rPr>
          <w:rFonts w:eastAsia="標楷體"/>
          <w:sz w:val="32"/>
          <w:szCs w:val="32"/>
        </w:rPr>
      </w:pPr>
      <w:r w:rsidRPr="00C2544D">
        <w:rPr>
          <w:rFonts w:eastAsia="標楷體" w:hint="eastAsia"/>
          <w:sz w:val="32"/>
          <w:szCs w:val="32"/>
        </w:rPr>
        <w:t xml:space="preserve">　　推動資訊產業發展為我國既定政策，加入</w:t>
      </w:r>
      <w:r w:rsidRPr="00C2544D">
        <w:rPr>
          <w:rFonts w:eastAsia="標楷體" w:hint="eastAsia"/>
          <w:sz w:val="32"/>
          <w:szCs w:val="32"/>
        </w:rPr>
        <w:t>ITA</w:t>
      </w:r>
      <w:r w:rsidRPr="00C2544D">
        <w:rPr>
          <w:rFonts w:eastAsia="標楷體" w:hint="eastAsia"/>
          <w:sz w:val="32"/>
          <w:szCs w:val="32"/>
        </w:rPr>
        <w:t>有利我國投資環境及相關產業</w:t>
      </w:r>
      <w:r w:rsidR="00552AC8" w:rsidRPr="00C2544D">
        <w:rPr>
          <w:rFonts w:eastAsia="標楷體" w:hint="eastAsia"/>
          <w:sz w:val="32"/>
          <w:szCs w:val="32"/>
        </w:rPr>
        <w:t>之</w:t>
      </w:r>
      <w:r w:rsidRPr="00C2544D">
        <w:rPr>
          <w:rFonts w:eastAsia="標楷體" w:hint="eastAsia"/>
          <w:sz w:val="32"/>
          <w:szCs w:val="32"/>
        </w:rPr>
        <w:t>發展。</w:t>
      </w:r>
      <w:r w:rsidR="00552AC8" w:rsidRPr="00C2544D">
        <w:rPr>
          <w:rFonts w:eastAsia="標楷體" w:hint="eastAsia"/>
          <w:sz w:val="32"/>
          <w:szCs w:val="32"/>
        </w:rPr>
        <w:t>過去</w:t>
      </w:r>
      <w:r w:rsidRPr="00C2544D">
        <w:rPr>
          <w:rFonts w:eastAsia="標楷體" w:hint="eastAsia"/>
          <w:sz w:val="32"/>
          <w:szCs w:val="32"/>
        </w:rPr>
        <w:t>1</w:t>
      </w:r>
      <w:r w:rsidR="00552AC8" w:rsidRPr="00C2544D">
        <w:rPr>
          <w:rFonts w:eastAsia="標楷體" w:hint="eastAsia"/>
          <w:sz w:val="32"/>
          <w:szCs w:val="32"/>
        </w:rPr>
        <w:t>6</w:t>
      </w:r>
      <w:r w:rsidRPr="00C2544D">
        <w:rPr>
          <w:rFonts w:eastAsia="標楷體" w:hint="eastAsia"/>
          <w:sz w:val="32"/>
          <w:szCs w:val="32"/>
        </w:rPr>
        <w:t>年</w:t>
      </w:r>
      <w:r w:rsidR="00552AC8" w:rsidRPr="00C2544D">
        <w:rPr>
          <w:rFonts w:eastAsia="標楷體" w:hint="eastAsia"/>
          <w:sz w:val="32"/>
          <w:szCs w:val="32"/>
        </w:rPr>
        <w:t>的</w:t>
      </w:r>
      <w:r w:rsidRPr="00C2544D">
        <w:rPr>
          <w:rFonts w:eastAsia="標楷體" w:hint="eastAsia"/>
          <w:sz w:val="32"/>
          <w:szCs w:val="32"/>
        </w:rPr>
        <w:t>經驗顯示，我國加入</w:t>
      </w:r>
      <w:r w:rsidRPr="00C2544D">
        <w:rPr>
          <w:rFonts w:eastAsia="標楷體" w:hint="eastAsia"/>
          <w:sz w:val="32"/>
          <w:szCs w:val="32"/>
        </w:rPr>
        <w:t>ITA</w:t>
      </w:r>
      <w:r w:rsidR="00552AC8" w:rsidRPr="00C2544D">
        <w:rPr>
          <w:rFonts w:eastAsia="標楷體" w:hint="eastAsia"/>
          <w:sz w:val="32"/>
          <w:szCs w:val="32"/>
        </w:rPr>
        <w:t>是一項正確、重要且影響深遠之決策，對我國資訊業之發展有相當大之幫助。</w:t>
      </w:r>
    </w:p>
    <w:p w:rsidR="00552AC8" w:rsidRPr="00C2544D" w:rsidRDefault="00552AC8" w:rsidP="00C2544D">
      <w:pPr>
        <w:snapToGrid w:val="0"/>
        <w:spacing w:beforeLines="50" w:before="180" w:line="500" w:lineRule="exact"/>
        <w:jc w:val="both"/>
        <w:rPr>
          <w:rFonts w:eastAsia="標楷體"/>
          <w:sz w:val="32"/>
          <w:szCs w:val="32"/>
        </w:rPr>
      </w:pPr>
      <w:r w:rsidRPr="00C2544D">
        <w:rPr>
          <w:rFonts w:eastAsia="標楷體" w:hint="eastAsia"/>
          <w:sz w:val="32"/>
          <w:szCs w:val="32"/>
        </w:rPr>
        <w:t xml:space="preserve">　　我國加入資訊科技協定之後，受惠於與各會員國之間關稅減讓之效果，實質得到出口利益，提升我國資通訊業者之出口競爭力，相關資訊、通訊及電子零組件產業，生產包含筆記型電腦、有線電視終端、無線網路卡、主機板、伺服器、液晶顯示器、平版電腦、桌上型電腦、數位相機、智慧型手機、網路電話機等</w:t>
      </w:r>
      <w:r w:rsidRPr="00C2544D">
        <w:rPr>
          <w:rFonts w:eastAsia="標楷體" w:hint="eastAsia"/>
          <w:sz w:val="32"/>
          <w:szCs w:val="32"/>
        </w:rPr>
        <w:t>10</w:t>
      </w:r>
      <w:r w:rsidRPr="00C2544D">
        <w:rPr>
          <w:rFonts w:eastAsia="標楷體" w:hint="eastAsia"/>
          <w:sz w:val="32"/>
          <w:szCs w:val="32"/>
        </w:rPr>
        <w:t>餘項產品，全球市場</w:t>
      </w:r>
      <w:proofErr w:type="gramStart"/>
      <w:r w:rsidRPr="00C2544D">
        <w:rPr>
          <w:rFonts w:eastAsia="標楷體" w:hint="eastAsia"/>
          <w:sz w:val="32"/>
          <w:szCs w:val="32"/>
        </w:rPr>
        <w:t>佔有率均為第</w:t>
      </w:r>
      <w:r w:rsidRPr="00C2544D">
        <w:rPr>
          <w:rFonts w:eastAsia="標楷體" w:hint="eastAsia"/>
          <w:sz w:val="32"/>
          <w:szCs w:val="32"/>
        </w:rPr>
        <w:t>1</w:t>
      </w:r>
      <w:proofErr w:type="gramEnd"/>
      <w:r w:rsidRPr="00C2544D">
        <w:rPr>
          <w:rFonts w:eastAsia="標楷體" w:hint="eastAsia"/>
          <w:sz w:val="32"/>
          <w:szCs w:val="32"/>
        </w:rPr>
        <w:t>，使我國成為資通訊產品的出口大國</w:t>
      </w:r>
      <w:r w:rsidRPr="00C2544D">
        <w:rPr>
          <w:rFonts w:eastAsia="標楷體" w:hint="eastAsia"/>
          <w:sz w:val="32"/>
          <w:szCs w:val="32"/>
        </w:rPr>
        <w:t>(</w:t>
      </w:r>
      <w:r w:rsidRPr="00C2544D">
        <w:rPr>
          <w:rFonts w:eastAsia="標楷體" w:hint="eastAsia"/>
          <w:sz w:val="32"/>
          <w:szCs w:val="32"/>
        </w:rPr>
        <w:t>表</w:t>
      </w:r>
      <w:r w:rsidRPr="00C2544D">
        <w:rPr>
          <w:rFonts w:eastAsia="標楷體" w:hint="eastAsia"/>
          <w:sz w:val="32"/>
          <w:szCs w:val="32"/>
        </w:rPr>
        <w:t>4)</w:t>
      </w:r>
      <w:r w:rsidRPr="00C2544D">
        <w:rPr>
          <w:rFonts w:eastAsia="標楷體" w:hint="eastAsia"/>
          <w:sz w:val="32"/>
          <w:szCs w:val="32"/>
        </w:rPr>
        <w:t>。同時，參與</w:t>
      </w:r>
      <w:r w:rsidRPr="00C2544D">
        <w:rPr>
          <w:rFonts w:eastAsia="標楷體" w:hint="eastAsia"/>
          <w:sz w:val="32"/>
          <w:szCs w:val="32"/>
        </w:rPr>
        <w:t>ITA</w:t>
      </w:r>
      <w:r w:rsidRPr="00C2544D">
        <w:rPr>
          <w:rFonts w:eastAsia="標楷體" w:hint="eastAsia"/>
          <w:sz w:val="32"/>
          <w:szCs w:val="32"/>
        </w:rPr>
        <w:t>使我國業者得以透過全球運籌維持</w:t>
      </w:r>
      <w:r w:rsidRPr="00C2544D">
        <w:rPr>
          <w:rFonts w:eastAsia="標楷體" w:hint="eastAsia"/>
          <w:sz w:val="32"/>
          <w:szCs w:val="32"/>
        </w:rPr>
        <w:t>ICT</w:t>
      </w:r>
      <w:r w:rsidRPr="00C2544D">
        <w:rPr>
          <w:rFonts w:eastAsia="標楷體" w:hint="eastAsia"/>
          <w:sz w:val="32"/>
          <w:szCs w:val="32"/>
        </w:rPr>
        <w:t>產品之製造規模與優勢，並延續我國在</w:t>
      </w:r>
      <w:r w:rsidRPr="00C2544D">
        <w:rPr>
          <w:rFonts w:eastAsia="標楷體" w:hint="eastAsia"/>
          <w:sz w:val="32"/>
          <w:szCs w:val="32"/>
        </w:rPr>
        <w:t>ICT</w:t>
      </w:r>
      <w:r w:rsidRPr="00C2544D">
        <w:rPr>
          <w:rFonts w:eastAsia="標楷體" w:hint="eastAsia"/>
          <w:sz w:val="32"/>
          <w:szCs w:val="32"/>
        </w:rPr>
        <w:t>產品之研發設計能力，產品價值鏈逐漸往上游的關鍵零組件及下游的品牌通路延伸，培植出如</w:t>
      </w:r>
      <w:r w:rsidRPr="00C2544D">
        <w:rPr>
          <w:rFonts w:eastAsia="標楷體" w:hint="eastAsia"/>
          <w:sz w:val="32"/>
          <w:szCs w:val="32"/>
        </w:rPr>
        <w:t>Acer</w:t>
      </w:r>
      <w:r w:rsidRPr="00C2544D">
        <w:rPr>
          <w:rFonts w:eastAsia="標楷體" w:hint="eastAsia"/>
          <w:sz w:val="32"/>
          <w:szCs w:val="32"/>
        </w:rPr>
        <w:t>、</w:t>
      </w:r>
      <w:r w:rsidRPr="00C2544D">
        <w:rPr>
          <w:rFonts w:eastAsia="標楷體" w:hint="eastAsia"/>
          <w:sz w:val="32"/>
          <w:szCs w:val="32"/>
        </w:rPr>
        <w:t>ASUS</w:t>
      </w:r>
      <w:r w:rsidRPr="00C2544D">
        <w:rPr>
          <w:rFonts w:eastAsia="標楷體" w:hint="eastAsia"/>
          <w:sz w:val="32"/>
          <w:szCs w:val="32"/>
        </w:rPr>
        <w:t>、</w:t>
      </w:r>
      <w:r w:rsidRPr="00C2544D">
        <w:rPr>
          <w:rFonts w:eastAsia="標楷體" w:hint="eastAsia"/>
          <w:sz w:val="32"/>
          <w:szCs w:val="32"/>
        </w:rPr>
        <w:t>HTC</w:t>
      </w:r>
      <w:r w:rsidRPr="00C2544D">
        <w:rPr>
          <w:rFonts w:eastAsia="標楷體" w:hint="eastAsia"/>
          <w:sz w:val="32"/>
          <w:szCs w:val="32"/>
        </w:rPr>
        <w:t>及</w:t>
      </w:r>
      <w:proofErr w:type="spellStart"/>
      <w:r w:rsidRPr="00C2544D">
        <w:rPr>
          <w:rFonts w:eastAsia="標楷體" w:hint="eastAsia"/>
          <w:sz w:val="32"/>
          <w:szCs w:val="32"/>
        </w:rPr>
        <w:t>Vizio</w:t>
      </w:r>
      <w:proofErr w:type="spellEnd"/>
      <w:r w:rsidRPr="00C2544D">
        <w:rPr>
          <w:rFonts w:eastAsia="標楷體" w:hint="eastAsia"/>
          <w:sz w:val="32"/>
          <w:szCs w:val="32"/>
        </w:rPr>
        <w:t>等具國際競爭力的品牌業者。</w:t>
      </w:r>
    </w:p>
    <w:p w:rsidR="00552AC8" w:rsidRPr="00C2544D" w:rsidRDefault="00552AC8" w:rsidP="00C2544D">
      <w:pPr>
        <w:snapToGrid w:val="0"/>
        <w:spacing w:beforeLines="50" w:before="180" w:line="500" w:lineRule="exact"/>
        <w:jc w:val="both"/>
        <w:rPr>
          <w:rFonts w:eastAsia="標楷體"/>
          <w:sz w:val="32"/>
          <w:szCs w:val="32"/>
        </w:rPr>
      </w:pPr>
      <w:r w:rsidRPr="00C2544D">
        <w:rPr>
          <w:rFonts w:eastAsia="標楷體" w:hint="eastAsia"/>
          <w:sz w:val="32"/>
          <w:szCs w:val="32"/>
        </w:rPr>
        <w:t xml:space="preserve">　　</w:t>
      </w:r>
      <w:proofErr w:type="gramStart"/>
      <w:r w:rsidRPr="00C2544D">
        <w:rPr>
          <w:rFonts w:eastAsia="標楷體" w:hint="eastAsia"/>
          <w:sz w:val="32"/>
          <w:szCs w:val="32"/>
        </w:rPr>
        <w:t>此外，</w:t>
      </w:r>
      <w:proofErr w:type="gramEnd"/>
      <w:r w:rsidRPr="00C2544D">
        <w:rPr>
          <w:rFonts w:eastAsia="標楷體" w:hint="eastAsia"/>
          <w:sz w:val="32"/>
          <w:szCs w:val="32"/>
        </w:rPr>
        <w:t>資通訊產品的上游產業</w:t>
      </w:r>
      <w:r w:rsidRPr="00C2544D">
        <w:rPr>
          <w:rFonts w:eastAsia="標楷體" w:hint="eastAsia"/>
          <w:sz w:val="32"/>
          <w:szCs w:val="32"/>
        </w:rPr>
        <w:t>-</w:t>
      </w:r>
      <w:r w:rsidRPr="00C2544D">
        <w:rPr>
          <w:rFonts w:eastAsia="標楷體" w:hint="eastAsia"/>
          <w:sz w:val="32"/>
          <w:szCs w:val="32"/>
        </w:rPr>
        <w:t>半導體產業也發展迅速，目前晶圓代工業、封裝業及測試業市場占有率皆為全球第一；</w:t>
      </w:r>
      <w:r w:rsidRPr="00C2544D">
        <w:rPr>
          <w:rFonts w:eastAsia="標楷體" w:hint="eastAsia"/>
          <w:sz w:val="32"/>
          <w:szCs w:val="32"/>
        </w:rPr>
        <w:t>IC</w:t>
      </w:r>
      <w:r w:rsidRPr="00C2544D">
        <w:rPr>
          <w:rFonts w:eastAsia="標楷體" w:hint="eastAsia"/>
          <w:sz w:val="32"/>
          <w:szCs w:val="32"/>
        </w:rPr>
        <w:t>設計業市場佔有率為全球第</w:t>
      </w:r>
      <w:proofErr w:type="gramStart"/>
      <w:r w:rsidRPr="00C2544D">
        <w:rPr>
          <w:rFonts w:eastAsia="標楷體" w:hint="eastAsia"/>
          <w:sz w:val="32"/>
          <w:szCs w:val="32"/>
        </w:rPr>
        <w:t>二</w:t>
      </w:r>
      <w:proofErr w:type="gramEnd"/>
      <w:r w:rsidRPr="00C2544D">
        <w:footnoteReference w:id="1"/>
      </w:r>
      <w:r w:rsidRPr="00C2544D">
        <w:rPr>
          <w:rFonts w:eastAsia="標楷體" w:hint="eastAsia"/>
          <w:sz w:val="32"/>
          <w:szCs w:val="32"/>
        </w:rPr>
        <w:t>。總體</w:t>
      </w:r>
      <w:r w:rsidRPr="00C2544D">
        <w:rPr>
          <w:rFonts w:eastAsia="標楷體" w:hint="eastAsia"/>
          <w:sz w:val="32"/>
          <w:szCs w:val="32"/>
        </w:rPr>
        <w:t>IC</w:t>
      </w:r>
      <w:r w:rsidRPr="00C2544D">
        <w:rPr>
          <w:rFonts w:eastAsia="標楷體" w:hint="eastAsia"/>
          <w:sz w:val="32"/>
          <w:szCs w:val="32"/>
        </w:rPr>
        <w:t>產業產值於</w:t>
      </w:r>
      <w:r w:rsidRPr="00C2544D">
        <w:rPr>
          <w:rFonts w:eastAsia="標楷體" w:hint="eastAsia"/>
          <w:sz w:val="32"/>
          <w:szCs w:val="32"/>
        </w:rPr>
        <w:t>2008</w:t>
      </w:r>
      <w:r w:rsidRPr="00C2544D">
        <w:rPr>
          <w:rFonts w:eastAsia="標楷體" w:hint="eastAsia"/>
          <w:sz w:val="32"/>
          <w:szCs w:val="32"/>
        </w:rPr>
        <w:t>、</w:t>
      </w:r>
      <w:r w:rsidRPr="00C2544D">
        <w:rPr>
          <w:rFonts w:eastAsia="標楷體" w:hint="eastAsia"/>
          <w:sz w:val="32"/>
          <w:szCs w:val="32"/>
        </w:rPr>
        <w:t>2009</w:t>
      </w:r>
      <w:r w:rsidRPr="00C2544D">
        <w:rPr>
          <w:rFonts w:eastAsia="標楷體" w:hint="eastAsia"/>
          <w:sz w:val="32"/>
          <w:szCs w:val="32"/>
        </w:rPr>
        <w:t>年受金融海嘯影響略微降低，惟</w:t>
      </w:r>
      <w:r w:rsidRPr="00C2544D">
        <w:rPr>
          <w:rFonts w:eastAsia="標楷體" w:hint="eastAsia"/>
          <w:sz w:val="32"/>
          <w:szCs w:val="32"/>
        </w:rPr>
        <w:t>2010</w:t>
      </w:r>
      <w:r w:rsidRPr="00C2544D">
        <w:rPr>
          <w:rFonts w:eastAsia="標楷體" w:hint="eastAsia"/>
          <w:sz w:val="32"/>
          <w:szCs w:val="32"/>
        </w:rPr>
        <w:t>年已恢復成長，預估</w:t>
      </w:r>
      <w:r w:rsidRPr="00C2544D">
        <w:rPr>
          <w:rFonts w:eastAsia="標楷體" w:hint="eastAsia"/>
          <w:sz w:val="32"/>
          <w:szCs w:val="32"/>
        </w:rPr>
        <w:t>2011</w:t>
      </w:r>
      <w:r w:rsidRPr="00C2544D">
        <w:rPr>
          <w:rFonts w:eastAsia="標楷體" w:hint="eastAsia"/>
          <w:sz w:val="32"/>
          <w:szCs w:val="32"/>
        </w:rPr>
        <w:t>年將持續成長</w:t>
      </w:r>
      <w:r w:rsidRPr="00C2544D">
        <w:rPr>
          <w:rFonts w:eastAsia="標楷體" w:hint="eastAsia"/>
          <w:sz w:val="32"/>
          <w:szCs w:val="32"/>
        </w:rPr>
        <w:t>(</w:t>
      </w:r>
      <w:r w:rsidRPr="00C2544D">
        <w:rPr>
          <w:rFonts w:eastAsia="標楷體" w:hint="eastAsia"/>
          <w:sz w:val="32"/>
          <w:szCs w:val="32"/>
        </w:rPr>
        <w:t>表</w:t>
      </w:r>
      <w:r w:rsidRPr="00C2544D">
        <w:rPr>
          <w:rFonts w:eastAsia="標楷體" w:hint="eastAsia"/>
          <w:sz w:val="32"/>
          <w:szCs w:val="32"/>
        </w:rPr>
        <w:t>5)</w:t>
      </w:r>
      <w:r w:rsidRPr="00C2544D">
        <w:rPr>
          <w:rFonts w:eastAsia="標楷體" w:hint="eastAsia"/>
          <w:sz w:val="32"/>
          <w:szCs w:val="32"/>
        </w:rPr>
        <w:t>。由此可見參與資訊科技協定對我國</w:t>
      </w:r>
      <w:r w:rsidRPr="00C2544D">
        <w:rPr>
          <w:rFonts w:eastAsia="標楷體" w:hint="eastAsia"/>
          <w:sz w:val="32"/>
          <w:szCs w:val="32"/>
        </w:rPr>
        <w:t>ICT</w:t>
      </w:r>
      <w:r w:rsidRPr="00C2544D">
        <w:rPr>
          <w:rFonts w:eastAsia="標楷體" w:hint="eastAsia"/>
          <w:sz w:val="32"/>
          <w:szCs w:val="32"/>
        </w:rPr>
        <w:t>產業發展的貢獻卓著。</w:t>
      </w:r>
    </w:p>
    <w:p w:rsidR="00552AC8" w:rsidRDefault="00552AC8" w:rsidP="00552AC8">
      <w:pPr>
        <w:jc w:val="center"/>
        <w:rPr>
          <w:rFonts w:ascii="標楷體" w:eastAsia="標楷體" w:hAnsi="標楷體"/>
        </w:rPr>
      </w:pPr>
      <w:r>
        <w:rPr>
          <w:rFonts w:eastAsia="標楷體" w:hAnsi="標楷體" w:hint="eastAsia"/>
          <w:sz w:val="28"/>
          <w:szCs w:val="28"/>
        </w:rPr>
        <w:t>表</w:t>
      </w:r>
      <w:r>
        <w:rPr>
          <w:rFonts w:eastAsia="標楷體"/>
          <w:sz w:val="28"/>
          <w:szCs w:val="28"/>
        </w:rPr>
        <w:t>4</w:t>
      </w:r>
      <w:r>
        <w:rPr>
          <w:rFonts w:eastAsia="標楷體" w:hAnsi="標楷體" w:hint="eastAsia"/>
          <w:sz w:val="28"/>
          <w:szCs w:val="28"/>
        </w:rPr>
        <w:t>：我國資訊科技產品在世界市場的表現</w:t>
      </w:r>
    </w:p>
    <w:tbl>
      <w:tblPr>
        <w:tblW w:w="5000" w:type="pct"/>
        <w:tblCellSpacing w:w="0" w:type="dxa"/>
        <w:tblCellMar>
          <w:left w:w="0" w:type="dxa"/>
          <w:right w:w="0" w:type="dxa"/>
        </w:tblCellMar>
        <w:tblLook w:val="04A0" w:firstRow="1" w:lastRow="0" w:firstColumn="1" w:lastColumn="0" w:noHBand="0" w:noVBand="1"/>
      </w:tblPr>
      <w:tblGrid>
        <w:gridCol w:w="2858"/>
        <w:gridCol w:w="2854"/>
        <w:gridCol w:w="2852"/>
      </w:tblGrid>
      <w:tr w:rsidR="00552AC8" w:rsidTr="00552AC8">
        <w:trPr>
          <w:trHeight w:val="405"/>
          <w:tblCellSpacing w:w="0" w:type="dxa"/>
        </w:trPr>
        <w:tc>
          <w:tcPr>
            <w:tcW w:w="1669" w:type="pct"/>
            <w:tcBorders>
              <w:top w:val="single" w:sz="12" w:space="0" w:color="000000"/>
              <w:left w:val="single" w:sz="12" w:space="0" w:color="000000"/>
              <w:bottom w:val="single" w:sz="4" w:space="0" w:color="000000"/>
              <w:right w:val="single" w:sz="4" w:space="0" w:color="000000"/>
            </w:tcBorders>
            <w:vAlign w:val="bottom"/>
            <w:hideMark/>
          </w:tcPr>
          <w:p w:rsidR="00552AC8" w:rsidRDefault="00552AC8">
            <w:pPr>
              <w:spacing w:line="340" w:lineRule="exact"/>
              <w:rPr>
                <w:rFonts w:ascii="標楷體" w:eastAsia="標楷體" w:hAnsi="標楷體"/>
              </w:rPr>
            </w:pPr>
            <w:r>
              <w:rPr>
                <w:rFonts w:ascii="標楷體" w:eastAsia="標楷體" w:hAnsi="標楷體" w:hint="eastAsia"/>
              </w:rPr>
              <w:t> </w:t>
            </w:r>
          </w:p>
        </w:tc>
        <w:tc>
          <w:tcPr>
            <w:tcW w:w="1666" w:type="pct"/>
            <w:tcBorders>
              <w:top w:val="single" w:sz="12" w:space="0" w:color="000000"/>
              <w:left w:val="single" w:sz="4" w:space="0" w:color="000000"/>
              <w:bottom w:val="single" w:sz="4" w:space="0" w:color="000000"/>
              <w:right w:val="single" w:sz="4" w:space="0" w:color="000000"/>
            </w:tcBorders>
            <w:shd w:val="clear" w:color="auto" w:fill="FFFFCC"/>
            <w:vAlign w:val="center"/>
            <w:hideMark/>
          </w:tcPr>
          <w:p w:rsidR="00552AC8" w:rsidRDefault="00552AC8">
            <w:pPr>
              <w:spacing w:line="340" w:lineRule="exact"/>
              <w:rPr>
                <w:rFonts w:ascii="標楷體" w:eastAsia="標楷體" w:hAnsi="標楷體"/>
              </w:rPr>
            </w:pPr>
            <w:r>
              <w:rPr>
                <w:rFonts w:ascii="標楷體" w:eastAsia="標楷體" w:hAnsi="標楷體" w:hint="eastAsia"/>
              </w:rPr>
              <w:t>全球市場佔有率</w:t>
            </w:r>
            <w:r>
              <w:rPr>
                <w:rFonts w:ascii="標楷體" w:eastAsia="標楷體" w:hAnsi="標楷體" w:hint="eastAsia"/>
                <w:vertAlign w:val="superscript"/>
              </w:rPr>
              <w:t>3</w:t>
            </w:r>
          </w:p>
        </w:tc>
        <w:tc>
          <w:tcPr>
            <w:tcW w:w="1665" w:type="pct"/>
            <w:tcBorders>
              <w:top w:val="single" w:sz="12" w:space="0" w:color="000000"/>
              <w:left w:val="single" w:sz="4" w:space="0" w:color="000000"/>
              <w:bottom w:val="single" w:sz="4" w:space="0" w:color="000000"/>
              <w:right w:val="single" w:sz="12" w:space="0" w:color="000000"/>
            </w:tcBorders>
            <w:vAlign w:val="center"/>
            <w:hideMark/>
          </w:tcPr>
          <w:p w:rsidR="00552AC8" w:rsidRDefault="00552AC8">
            <w:pPr>
              <w:spacing w:line="340" w:lineRule="exact"/>
              <w:rPr>
                <w:rFonts w:ascii="標楷體" w:eastAsia="標楷體" w:hAnsi="標楷體"/>
              </w:rPr>
            </w:pPr>
            <w:r>
              <w:rPr>
                <w:rFonts w:ascii="標楷體" w:eastAsia="標楷體" w:hAnsi="標楷體" w:hint="eastAsia"/>
              </w:rPr>
              <w:t xml:space="preserve">  世界排名第一</w:t>
            </w:r>
          </w:p>
        </w:tc>
      </w:tr>
      <w:tr w:rsidR="00552AC8" w:rsidTr="00552AC8">
        <w:trPr>
          <w:trHeight w:val="285"/>
          <w:tblCellSpacing w:w="0" w:type="dxa"/>
        </w:trPr>
        <w:tc>
          <w:tcPr>
            <w:tcW w:w="1669" w:type="pct"/>
            <w:tcBorders>
              <w:top w:val="single" w:sz="4" w:space="0" w:color="000000"/>
              <w:left w:val="single" w:sz="12" w:space="0" w:color="000000"/>
              <w:bottom w:val="single" w:sz="4" w:space="0" w:color="000000"/>
              <w:right w:val="single" w:sz="4" w:space="0" w:color="000000"/>
            </w:tcBorders>
            <w:vAlign w:val="bottom"/>
            <w:hideMark/>
          </w:tcPr>
          <w:p w:rsidR="00552AC8" w:rsidRDefault="00552AC8">
            <w:pPr>
              <w:spacing w:line="340" w:lineRule="exact"/>
              <w:rPr>
                <w:rFonts w:ascii="標楷體" w:eastAsia="標楷體" w:hAnsi="標楷體"/>
              </w:rPr>
            </w:pPr>
            <w:r>
              <w:rPr>
                <w:rFonts w:ascii="標楷體" w:eastAsia="標楷體" w:hAnsi="標楷體" w:hint="eastAsia"/>
              </w:rPr>
              <w:t>Cable CPE(有線電視終端)</w:t>
            </w:r>
          </w:p>
        </w:tc>
        <w:tc>
          <w:tcPr>
            <w:tcW w:w="1666" w:type="pct"/>
            <w:tcBorders>
              <w:top w:val="single" w:sz="4" w:space="0" w:color="000000"/>
              <w:left w:val="single" w:sz="4" w:space="0" w:color="000000"/>
              <w:bottom w:val="single" w:sz="4" w:space="0" w:color="000000"/>
              <w:right w:val="single" w:sz="4" w:space="0" w:color="000000"/>
            </w:tcBorders>
            <w:shd w:val="clear" w:color="auto" w:fill="FFFFCC"/>
            <w:vAlign w:val="bottom"/>
            <w:hideMark/>
          </w:tcPr>
          <w:p w:rsidR="00552AC8" w:rsidRDefault="00552AC8">
            <w:pPr>
              <w:spacing w:line="340" w:lineRule="exact"/>
              <w:jc w:val="center"/>
              <w:rPr>
                <w:rFonts w:ascii="標楷體" w:eastAsia="標楷體" w:hAnsi="標楷體"/>
              </w:rPr>
            </w:pPr>
            <w:r>
              <w:rPr>
                <w:rFonts w:ascii="標楷體" w:eastAsia="標楷體" w:hAnsi="標楷體" w:hint="eastAsia"/>
              </w:rPr>
              <w:t>97.0%</w:t>
            </w:r>
          </w:p>
        </w:tc>
        <w:tc>
          <w:tcPr>
            <w:tcW w:w="1665" w:type="pct"/>
            <w:tcBorders>
              <w:top w:val="single" w:sz="4" w:space="0" w:color="000000"/>
              <w:left w:val="single" w:sz="4" w:space="0" w:color="000000"/>
              <w:bottom w:val="single" w:sz="4" w:space="0" w:color="000000"/>
              <w:right w:val="single" w:sz="12" w:space="0" w:color="000000"/>
            </w:tcBorders>
            <w:vAlign w:val="center"/>
            <w:hideMark/>
          </w:tcPr>
          <w:p w:rsidR="00552AC8" w:rsidRDefault="00552AC8">
            <w:pPr>
              <w:spacing w:line="340" w:lineRule="exact"/>
              <w:jc w:val="center"/>
              <w:rPr>
                <w:rFonts w:ascii="標楷體" w:eastAsia="標楷體" w:hAnsi="標楷體"/>
              </w:rPr>
            </w:pPr>
            <w:r>
              <w:rPr>
                <w:rFonts w:ascii="標楷體" w:eastAsia="標楷體" w:hAnsi="標楷體"/>
                <w:noProof/>
              </w:rPr>
              <w:drawing>
                <wp:inline distT="0" distB="0" distL="0" distR="0" wp14:anchorId="5C083E4D" wp14:editId="434AFAE5">
                  <wp:extent cx="176530" cy="163830"/>
                  <wp:effectExtent l="0" t="0" r="0" b="7620"/>
                  <wp:docPr id="26" name="圖片 26" descr="Click To Downlo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ck To Download"/>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76530" cy="163830"/>
                          </a:xfrm>
                          <a:prstGeom prst="rect">
                            <a:avLst/>
                          </a:prstGeom>
                          <a:noFill/>
                          <a:ln>
                            <a:noFill/>
                          </a:ln>
                        </pic:spPr>
                      </pic:pic>
                    </a:graphicData>
                  </a:graphic>
                </wp:inline>
              </w:drawing>
            </w:r>
          </w:p>
        </w:tc>
      </w:tr>
      <w:tr w:rsidR="00552AC8" w:rsidTr="00552AC8">
        <w:trPr>
          <w:trHeight w:val="285"/>
          <w:tblCellSpacing w:w="0" w:type="dxa"/>
        </w:trPr>
        <w:tc>
          <w:tcPr>
            <w:tcW w:w="1669" w:type="pct"/>
            <w:tcBorders>
              <w:top w:val="single" w:sz="4" w:space="0" w:color="000000"/>
              <w:left w:val="single" w:sz="12" w:space="0" w:color="000000"/>
              <w:bottom w:val="single" w:sz="4" w:space="0" w:color="000000"/>
              <w:right w:val="single" w:sz="4" w:space="0" w:color="000000"/>
            </w:tcBorders>
            <w:vAlign w:val="center"/>
            <w:hideMark/>
          </w:tcPr>
          <w:p w:rsidR="00552AC8" w:rsidRDefault="00552AC8">
            <w:pPr>
              <w:spacing w:line="340" w:lineRule="exact"/>
              <w:rPr>
                <w:rFonts w:ascii="標楷體" w:eastAsia="標楷體" w:hAnsi="標楷體"/>
              </w:rPr>
            </w:pPr>
            <w:r>
              <w:rPr>
                <w:rFonts w:ascii="標楷體" w:eastAsia="標楷體" w:hAnsi="標楷體" w:hint="eastAsia"/>
              </w:rPr>
              <w:t>Notebook PC</w:t>
            </w:r>
          </w:p>
        </w:tc>
        <w:tc>
          <w:tcPr>
            <w:tcW w:w="1666" w:type="pct"/>
            <w:tcBorders>
              <w:top w:val="single" w:sz="4" w:space="0" w:color="000000"/>
              <w:left w:val="single" w:sz="4" w:space="0" w:color="000000"/>
              <w:bottom w:val="single" w:sz="4" w:space="0" w:color="000000"/>
              <w:right w:val="single" w:sz="4" w:space="0" w:color="000000"/>
            </w:tcBorders>
            <w:shd w:val="clear" w:color="auto" w:fill="FFFFCC"/>
            <w:vAlign w:val="bottom"/>
            <w:hideMark/>
          </w:tcPr>
          <w:p w:rsidR="00552AC8" w:rsidRDefault="00552AC8">
            <w:pPr>
              <w:spacing w:line="340" w:lineRule="exact"/>
              <w:jc w:val="center"/>
              <w:rPr>
                <w:rFonts w:ascii="標楷體" w:eastAsia="標楷體" w:hAnsi="標楷體"/>
              </w:rPr>
            </w:pPr>
            <w:r>
              <w:rPr>
                <w:rFonts w:ascii="標楷體" w:eastAsia="標楷體" w:hAnsi="標楷體" w:hint="eastAsia"/>
              </w:rPr>
              <w:t>89.0%</w:t>
            </w:r>
          </w:p>
        </w:tc>
        <w:tc>
          <w:tcPr>
            <w:tcW w:w="1665" w:type="pct"/>
            <w:tcBorders>
              <w:top w:val="single" w:sz="4" w:space="0" w:color="000000"/>
              <w:left w:val="single" w:sz="4" w:space="0" w:color="000000"/>
              <w:bottom w:val="single" w:sz="4" w:space="0" w:color="000000"/>
              <w:right w:val="single" w:sz="12" w:space="0" w:color="000000"/>
            </w:tcBorders>
            <w:vAlign w:val="center"/>
            <w:hideMark/>
          </w:tcPr>
          <w:p w:rsidR="00552AC8" w:rsidRDefault="00552AC8">
            <w:pPr>
              <w:spacing w:line="340" w:lineRule="exact"/>
              <w:jc w:val="center"/>
              <w:rPr>
                <w:rFonts w:ascii="標楷體" w:eastAsia="標楷體" w:hAnsi="標楷體"/>
              </w:rPr>
            </w:pPr>
            <w:r>
              <w:rPr>
                <w:rFonts w:ascii="標楷體" w:eastAsia="標楷體" w:hAnsi="標楷體"/>
                <w:noProof/>
              </w:rPr>
              <w:drawing>
                <wp:inline distT="0" distB="0" distL="0" distR="0" wp14:anchorId="2E8804C0" wp14:editId="332B0042">
                  <wp:extent cx="176530" cy="163830"/>
                  <wp:effectExtent l="0" t="0" r="0" b="7620"/>
                  <wp:docPr id="25" name="圖片 25" descr="Click To Downlo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lick To Download"/>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76530" cy="163830"/>
                          </a:xfrm>
                          <a:prstGeom prst="rect">
                            <a:avLst/>
                          </a:prstGeom>
                          <a:noFill/>
                          <a:ln>
                            <a:noFill/>
                          </a:ln>
                        </pic:spPr>
                      </pic:pic>
                    </a:graphicData>
                  </a:graphic>
                </wp:inline>
              </w:drawing>
            </w:r>
          </w:p>
        </w:tc>
      </w:tr>
      <w:tr w:rsidR="00552AC8" w:rsidTr="00552AC8">
        <w:trPr>
          <w:trHeight w:val="285"/>
          <w:tblCellSpacing w:w="0" w:type="dxa"/>
        </w:trPr>
        <w:tc>
          <w:tcPr>
            <w:tcW w:w="1669" w:type="pct"/>
            <w:tcBorders>
              <w:top w:val="single" w:sz="4" w:space="0" w:color="000000"/>
              <w:left w:val="single" w:sz="12" w:space="0" w:color="000000"/>
              <w:bottom w:val="single" w:sz="4" w:space="0" w:color="000000"/>
              <w:right w:val="single" w:sz="4" w:space="0" w:color="000000"/>
            </w:tcBorders>
            <w:vAlign w:val="bottom"/>
            <w:hideMark/>
          </w:tcPr>
          <w:p w:rsidR="00552AC8" w:rsidRDefault="00552AC8">
            <w:pPr>
              <w:spacing w:line="340" w:lineRule="exact"/>
              <w:rPr>
                <w:rFonts w:ascii="標楷體" w:eastAsia="標楷體" w:hAnsi="標楷體"/>
              </w:rPr>
            </w:pPr>
            <w:r>
              <w:rPr>
                <w:rFonts w:ascii="標楷體" w:eastAsia="標楷體" w:hAnsi="標楷體" w:hint="eastAsia"/>
              </w:rPr>
              <w:t>Tablet Device</w:t>
            </w:r>
          </w:p>
        </w:tc>
        <w:tc>
          <w:tcPr>
            <w:tcW w:w="1666" w:type="pct"/>
            <w:tcBorders>
              <w:top w:val="single" w:sz="4" w:space="0" w:color="000000"/>
              <w:left w:val="single" w:sz="4" w:space="0" w:color="000000"/>
              <w:bottom w:val="single" w:sz="4" w:space="0" w:color="000000"/>
              <w:right w:val="single" w:sz="4" w:space="0" w:color="000000"/>
            </w:tcBorders>
            <w:shd w:val="clear" w:color="auto" w:fill="FFFFCC"/>
            <w:vAlign w:val="bottom"/>
            <w:hideMark/>
          </w:tcPr>
          <w:p w:rsidR="00552AC8" w:rsidRDefault="00552AC8">
            <w:pPr>
              <w:spacing w:line="340" w:lineRule="exact"/>
              <w:jc w:val="center"/>
              <w:rPr>
                <w:rFonts w:ascii="標楷體" w:eastAsia="標楷體" w:hAnsi="標楷體"/>
              </w:rPr>
            </w:pPr>
            <w:r>
              <w:rPr>
                <w:rFonts w:ascii="標楷體" w:eastAsia="標楷體" w:hAnsi="標楷體" w:hint="eastAsia"/>
              </w:rPr>
              <w:t>70.0%</w:t>
            </w:r>
          </w:p>
        </w:tc>
        <w:tc>
          <w:tcPr>
            <w:tcW w:w="1665" w:type="pct"/>
            <w:tcBorders>
              <w:top w:val="single" w:sz="4" w:space="0" w:color="000000"/>
              <w:left w:val="single" w:sz="4" w:space="0" w:color="000000"/>
              <w:bottom w:val="single" w:sz="4" w:space="0" w:color="000000"/>
              <w:right w:val="single" w:sz="12" w:space="0" w:color="000000"/>
            </w:tcBorders>
            <w:vAlign w:val="center"/>
            <w:hideMark/>
          </w:tcPr>
          <w:p w:rsidR="00552AC8" w:rsidRDefault="00552AC8">
            <w:pPr>
              <w:spacing w:line="340" w:lineRule="exact"/>
              <w:jc w:val="center"/>
              <w:rPr>
                <w:rFonts w:ascii="標楷體" w:eastAsia="標楷體" w:hAnsi="標楷體"/>
              </w:rPr>
            </w:pPr>
            <w:r>
              <w:rPr>
                <w:rFonts w:ascii="標楷體" w:eastAsia="標楷體" w:hAnsi="標楷體"/>
                <w:noProof/>
              </w:rPr>
              <w:drawing>
                <wp:inline distT="0" distB="0" distL="0" distR="0" wp14:anchorId="13B5BAE5" wp14:editId="3DCFB1A4">
                  <wp:extent cx="176530" cy="163830"/>
                  <wp:effectExtent l="0" t="0" r="0" b="7620"/>
                  <wp:docPr id="24" name="圖片 24" descr="Click To Downlo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lick To Download"/>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76530" cy="163830"/>
                          </a:xfrm>
                          <a:prstGeom prst="rect">
                            <a:avLst/>
                          </a:prstGeom>
                          <a:noFill/>
                          <a:ln>
                            <a:noFill/>
                          </a:ln>
                        </pic:spPr>
                      </pic:pic>
                    </a:graphicData>
                  </a:graphic>
                </wp:inline>
              </w:drawing>
            </w:r>
          </w:p>
        </w:tc>
      </w:tr>
      <w:tr w:rsidR="00552AC8" w:rsidTr="00552AC8">
        <w:trPr>
          <w:trHeight w:val="285"/>
          <w:tblCellSpacing w:w="0" w:type="dxa"/>
        </w:trPr>
        <w:tc>
          <w:tcPr>
            <w:tcW w:w="1669" w:type="pct"/>
            <w:tcBorders>
              <w:top w:val="single" w:sz="4" w:space="0" w:color="000000"/>
              <w:left w:val="single" w:sz="12" w:space="0" w:color="000000"/>
              <w:bottom w:val="single" w:sz="4" w:space="0" w:color="000000"/>
              <w:right w:val="single" w:sz="4" w:space="0" w:color="000000"/>
            </w:tcBorders>
            <w:vAlign w:val="bottom"/>
            <w:hideMark/>
          </w:tcPr>
          <w:p w:rsidR="00552AC8" w:rsidRDefault="00552AC8">
            <w:pPr>
              <w:spacing w:line="340" w:lineRule="exact"/>
              <w:rPr>
                <w:rFonts w:ascii="標楷體" w:eastAsia="標楷體" w:hAnsi="標楷體"/>
              </w:rPr>
            </w:pPr>
            <w:r>
              <w:rPr>
                <w:rFonts w:ascii="標楷體" w:eastAsia="標楷體" w:hAnsi="標楷體" w:hint="eastAsia"/>
              </w:rPr>
              <w:t>WLAN NIC (無線網路卡)</w:t>
            </w:r>
          </w:p>
        </w:tc>
        <w:tc>
          <w:tcPr>
            <w:tcW w:w="1666" w:type="pct"/>
            <w:tcBorders>
              <w:top w:val="single" w:sz="4" w:space="0" w:color="000000"/>
              <w:left w:val="single" w:sz="4" w:space="0" w:color="000000"/>
              <w:bottom w:val="single" w:sz="4" w:space="0" w:color="000000"/>
              <w:right w:val="single" w:sz="4" w:space="0" w:color="000000"/>
            </w:tcBorders>
            <w:shd w:val="clear" w:color="auto" w:fill="FFFFCC"/>
            <w:vAlign w:val="bottom"/>
            <w:hideMark/>
          </w:tcPr>
          <w:p w:rsidR="00552AC8" w:rsidRDefault="00552AC8">
            <w:pPr>
              <w:spacing w:line="340" w:lineRule="exact"/>
              <w:jc w:val="center"/>
              <w:rPr>
                <w:rFonts w:ascii="標楷體" w:eastAsia="標楷體" w:hAnsi="標楷體"/>
              </w:rPr>
            </w:pPr>
            <w:r>
              <w:rPr>
                <w:rFonts w:ascii="標楷體" w:eastAsia="標楷體" w:hAnsi="標楷體" w:hint="eastAsia"/>
              </w:rPr>
              <w:t>80.2%</w:t>
            </w:r>
          </w:p>
        </w:tc>
        <w:tc>
          <w:tcPr>
            <w:tcW w:w="1665" w:type="pct"/>
            <w:tcBorders>
              <w:top w:val="single" w:sz="4" w:space="0" w:color="000000"/>
              <w:left w:val="single" w:sz="4" w:space="0" w:color="000000"/>
              <w:bottom w:val="single" w:sz="4" w:space="0" w:color="000000"/>
              <w:right w:val="single" w:sz="12" w:space="0" w:color="000000"/>
            </w:tcBorders>
            <w:vAlign w:val="center"/>
            <w:hideMark/>
          </w:tcPr>
          <w:p w:rsidR="00552AC8" w:rsidRDefault="00552AC8">
            <w:pPr>
              <w:spacing w:line="340" w:lineRule="exact"/>
              <w:jc w:val="center"/>
              <w:rPr>
                <w:rFonts w:ascii="標楷體" w:eastAsia="標楷體" w:hAnsi="標楷體"/>
              </w:rPr>
            </w:pPr>
            <w:r>
              <w:rPr>
                <w:rFonts w:ascii="標楷體" w:eastAsia="標楷體" w:hAnsi="標楷體"/>
                <w:noProof/>
              </w:rPr>
              <w:drawing>
                <wp:inline distT="0" distB="0" distL="0" distR="0" wp14:anchorId="63DEC13C" wp14:editId="73A800C5">
                  <wp:extent cx="176530" cy="163830"/>
                  <wp:effectExtent l="0" t="0" r="0" b="7620"/>
                  <wp:docPr id="23" name="圖片 23" descr="Click To Downlo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lick To Download"/>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76530" cy="163830"/>
                          </a:xfrm>
                          <a:prstGeom prst="rect">
                            <a:avLst/>
                          </a:prstGeom>
                          <a:noFill/>
                          <a:ln>
                            <a:noFill/>
                          </a:ln>
                        </pic:spPr>
                      </pic:pic>
                    </a:graphicData>
                  </a:graphic>
                </wp:inline>
              </w:drawing>
            </w:r>
          </w:p>
        </w:tc>
      </w:tr>
      <w:tr w:rsidR="00552AC8" w:rsidTr="00552AC8">
        <w:trPr>
          <w:trHeight w:val="285"/>
          <w:tblCellSpacing w:w="0" w:type="dxa"/>
        </w:trPr>
        <w:tc>
          <w:tcPr>
            <w:tcW w:w="1669" w:type="pct"/>
            <w:tcBorders>
              <w:top w:val="single" w:sz="4" w:space="0" w:color="000000"/>
              <w:left w:val="single" w:sz="12" w:space="0" w:color="000000"/>
              <w:bottom w:val="single" w:sz="4" w:space="0" w:color="000000"/>
              <w:right w:val="single" w:sz="4" w:space="0" w:color="000000"/>
            </w:tcBorders>
            <w:vAlign w:val="bottom"/>
            <w:hideMark/>
          </w:tcPr>
          <w:p w:rsidR="00552AC8" w:rsidRDefault="00552AC8">
            <w:pPr>
              <w:spacing w:line="340" w:lineRule="exact"/>
              <w:rPr>
                <w:rFonts w:ascii="標楷體" w:eastAsia="標楷體" w:hAnsi="標楷體"/>
              </w:rPr>
            </w:pPr>
            <w:r>
              <w:rPr>
                <w:rFonts w:ascii="標楷體" w:eastAsia="標楷體" w:hAnsi="標楷體" w:hint="eastAsia"/>
              </w:rPr>
              <w:t>Motherboard</w:t>
            </w:r>
          </w:p>
        </w:tc>
        <w:tc>
          <w:tcPr>
            <w:tcW w:w="1666" w:type="pct"/>
            <w:tcBorders>
              <w:top w:val="single" w:sz="4" w:space="0" w:color="000000"/>
              <w:left w:val="single" w:sz="4" w:space="0" w:color="000000"/>
              <w:bottom w:val="single" w:sz="4" w:space="0" w:color="000000"/>
              <w:right w:val="single" w:sz="4" w:space="0" w:color="000000"/>
            </w:tcBorders>
            <w:shd w:val="clear" w:color="auto" w:fill="FFFFCC"/>
            <w:vAlign w:val="bottom"/>
            <w:hideMark/>
          </w:tcPr>
          <w:p w:rsidR="00552AC8" w:rsidRDefault="00552AC8">
            <w:pPr>
              <w:spacing w:line="340" w:lineRule="exact"/>
              <w:jc w:val="center"/>
              <w:rPr>
                <w:rFonts w:ascii="標楷體" w:eastAsia="標楷體" w:hAnsi="標楷體"/>
              </w:rPr>
            </w:pPr>
            <w:r>
              <w:rPr>
                <w:rFonts w:ascii="標楷體" w:eastAsia="標楷體" w:hAnsi="標楷體" w:hint="eastAsia"/>
              </w:rPr>
              <w:t>78.9%</w:t>
            </w:r>
          </w:p>
        </w:tc>
        <w:tc>
          <w:tcPr>
            <w:tcW w:w="1665" w:type="pct"/>
            <w:tcBorders>
              <w:top w:val="single" w:sz="4" w:space="0" w:color="000000"/>
              <w:left w:val="single" w:sz="4" w:space="0" w:color="000000"/>
              <w:bottom w:val="single" w:sz="4" w:space="0" w:color="000000"/>
              <w:right w:val="single" w:sz="12" w:space="0" w:color="000000"/>
            </w:tcBorders>
            <w:vAlign w:val="center"/>
            <w:hideMark/>
          </w:tcPr>
          <w:p w:rsidR="00552AC8" w:rsidRDefault="00552AC8">
            <w:pPr>
              <w:spacing w:line="340" w:lineRule="exact"/>
              <w:jc w:val="center"/>
              <w:rPr>
                <w:rFonts w:ascii="標楷體" w:eastAsia="標楷體" w:hAnsi="標楷體"/>
              </w:rPr>
            </w:pPr>
            <w:r>
              <w:rPr>
                <w:rFonts w:ascii="標楷體" w:eastAsia="標楷體" w:hAnsi="標楷體"/>
                <w:noProof/>
              </w:rPr>
              <w:drawing>
                <wp:inline distT="0" distB="0" distL="0" distR="0" wp14:anchorId="0F328DF0" wp14:editId="217BFA25">
                  <wp:extent cx="176530" cy="163830"/>
                  <wp:effectExtent l="0" t="0" r="0" b="7620"/>
                  <wp:docPr id="22" name="圖片 22" descr="Click To Downlo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lick To Download"/>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76530" cy="163830"/>
                          </a:xfrm>
                          <a:prstGeom prst="rect">
                            <a:avLst/>
                          </a:prstGeom>
                          <a:noFill/>
                          <a:ln>
                            <a:noFill/>
                          </a:ln>
                        </pic:spPr>
                      </pic:pic>
                    </a:graphicData>
                  </a:graphic>
                </wp:inline>
              </w:drawing>
            </w:r>
          </w:p>
        </w:tc>
      </w:tr>
      <w:tr w:rsidR="00552AC8" w:rsidTr="00552AC8">
        <w:trPr>
          <w:trHeight w:val="285"/>
          <w:tblCellSpacing w:w="0" w:type="dxa"/>
        </w:trPr>
        <w:tc>
          <w:tcPr>
            <w:tcW w:w="1669" w:type="pct"/>
            <w:tcBorders>
              <w:top w:val="single" w:sz="4" w:space="0" w:color="000000"/>
              <w:left w:val="single" w:sz="12" w:space="0" w:color="000000"/>
              <w:bottom w:val="single" w:sz="4" w:space="0" w:color="000000"/>
              <w:right w:val="single" w:sz="4" w:space="0" w:color="000000"/>
            </w:tcBorders>
            <w:vAlign w:val="bottom"/>
            <w:hideMark/>
          </w:tcPr>
          <w:p w:rsidR="00552AC8" w:rsidRDefault="00552AC8">
            <w:pPr>
              <w:spacing w:line="340" w:lineRule="exact"/>
              <w:rPr>
                <w:rFonts w:ascii="標楷體" w:eastAsia="標楷體" w:hAnsi="標楷體"/>
              </w:rPr>
            </w:pPr>
            <w:r>
              <w:rPr>
                <w:rFonts w:ascii="標楷體" w:eastAsia="標楷體" w:hAnsi="標楷體" w:hint="eastAsia"/>
              </w:rPr>
              <w:t>LCD Monitor</w:t>
            </w:r>
          </w:p>
        </w:tc>
        <w:tc>
          <w:tcPr>
            <w:tcW w:w="1666" w:type="pct"/>
            <w:tcBorders>
              <w:top w:val="single" w:sz="4" w:space="0" w:color="000000"/>
              <w:left w:val="single" w:sz="4" w:space="0" w:color="000000"/>
              <w:bottom w:val="single" w:sz="4" w:space="0" w:color="000000"/>
              <w:right w:val="single" w:sz="4" w:space="0" w:color="000000"/>
            </w:tcBorders>
            <w:shd w:val="clear" w:color="auto" w:fill="FFFFCC"/>
            <w:vAlign w:val="bottom"/>
            <w:hideMark/>
          </w:tcPr>
          <w:p w:rsidR="00552AC8" w:rsidRDefault="00552AC8">
            <w:pPr>
              <w:spacing w:line="340" w:lineRule="exact"/>
              <w:jc w:val="center"/>
              <w:rPr>
                <w:rFonts w:ascii="標楷體" w:eastAsia="標楷體" w:hAnsi="標楷體"/>
              </w:rPr>
            </w:pPr>
            <w:r>
              <w:rPr>
                <w:rFonts w:ascii="標楷體" w:eastAsia="標楷體" w:hAnsi="標楷體" w:hint="eastAsia"/>
              </w:rPr>
              <w:t>67.7%</w:t>
            </w:r>
          </w:p>
        </w:tc>
        <w:tc>
          <w:tcPr>
            <w:tcW w:w="1665" w:type="pct"/>
            <w:tcBorders>
              <w:top w:val="single" w:sz="4" w:space="0" w:color="000000"/>
              <w:left w:val="single" w:sz="4" w:space="0" w:color="000000"/>
              <w:bottom w:val="single" w:sz="4" w:space="0" w:color="000000"/>
              <w:right w:val="single" w:sz="12" w:space="0" w:color="000000"/>
            </w:tcBorders>
            <w:vAlign w:val="center"/>
            <w:hideMark/>
          </w:tcPr>
          <w:p w:rsidR="00552AC8" w:rsidRDefault="00552AC8">
            <w:pPr>
              <w:spacing w:line="340" w:lineRule="exact"/>
              <w:jc w:val="center"/>
              <w:rPr>
                <w:rFonts w:ascii="標楷體" w:eastAsia="標楷體" w:hAnsi="標楷體"/>
              </w:rPr>
            </w:pPr>
            <w:r>
              <w:rPr>
                <w:rFonts w:ascii="標楷體" w:eastAsia="標楷體" w:hAnsi="標楷體"/>
                <w:noProof/>
              </w:rPr>
              <w:drawing>
                <wp:inline distT="0" distB="0" distL="0" distR="0" wp14:anchorId="2C381BA2" wp14:editId="7F88E68C">
                  <wp:extent cx="176530" cy="163830"/>
                  <wp:effectExtent l="0" t="0" r="0" b="7620"/>
                  <wp:docPr id="21" name="圖片 21" descr="Click To Downlo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lick To Download"/>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76530" cy="163830"/>
                          </a:xfrm>
                          <a:prstGeom prst="rect">
                            <a:avLst/>
                          </a:prstGeom>
                          <a:noFill/>
                          <a:ln>
                            <a:noFill/>
                          </a:ln>
                        </pic:spPr>
                      </pic:pic>
                    </a:graphicData>
                  </a:graphic>
                </wp:inline>
              </w:drawing>
            </w:r>
          </w:p>
        </w:tc>
      </w:tr>
      <w:tr w:rsidR="00552AC8" w:rsidTr="00552AC8">
        <w:trPr>
          <w:trHeight w:val="285"/>
          <w:tblCellSpacing w:w="0" w:type="dxa"/>
        </w:trPr>
        <w:tc>
          <w:tcPr>
            <w:tcW w:w="1669" w:type="pct"/>
            <w:tcBorders>
              <w:top w:val="single" w:sz="4" w:space="0" w:color="000000"/>
              <w:left w:val="single" w:sz="12" w:space="0" w:color="000000"/>
              <w:bottom w:val="single" w:sz="4" w:space="0" w:color="000000"/>
              <w:right w:val="single" w:sz="4" w:space="0" w:color="000000"/>
            </w:tcBorders>
            <w:vAlign w:val="bottom"/>
            <w:hideMark/>
          </w:tcPr>
          <w:p w:rsidR="00552AC8" w:rsidRDefault="00552AC8">
            <w:pPr>
              <w:spacing w:line="340" w:lineRule="exact"/>
              <w:rPr>
                <w:rFonts w:ascii="標楷體" w:eastAsia="標楷體" w:hAnsi="標楷體"/>
              </w:rPr>
            </w:pPr>
            <w:r>
              <w:rPr>
                <w:rFonts w:ascii="標楷體" w:eastAsia="標楷體" w:hAnsi="標楷體" w:hint="eastAsia"/>
              </w:rPr>
              <w:t>IP Phone</w:t>
            </w:r>
          </w:p>
        </w:tc>
        <w:tc>
          <w:tcPr>
            <w:tcW w:w="1666" w:type="pct"/>
            <w:tcBorders>
              <w:top w:val="single" w:sz="4" w:space="0" w:color="000000"/>
              <w:left w:val="single" w:sz="4" w:space="0" w:color="000000"/>
              <w:bottom w:val="single" w:sz="4" w:space="0" w:color="000000"/>
              <w:right w:val="single" w:sz="4" w:space="0" w:color="000000"/>
            </w:tcBorders>
            <w:shd w:val="clear" w:color="auto" w:fill="FFFFCC"/>
            <w:vAlign w:val="bottom"/>
            <w:hideMark/>
          </w:tcPr>
          <w:p w:rsidR="00552AC8" w:rsidRDefault="00552AC8">
            <w:pPr>
              <w:spacing w:line="340" w:lineRule="exact"/>
              <w:jc w:val="center"/>
              <w:rPr>
                <w:rFonts w:ascii="標楷體" w:eastAsia="標楷體" w:hAnsi="標楷體"/>
              </w:rPr>
            </w:pPr>
            <w:r>
              <w:rPr>
                <w:rFonts w:ascii="標楷體" w:eastAsia="標楷體" w:hAnsi="標楷體" w:hint="eastAsia"/>
              </w:rPr>
              <w:t>61.0%</w:t>
            </w:r>
          </w:p>
        </w:tc>
        <w:tc>
          <w:tcPr>
            <w:tcW w:w="1665" w:type="pct"/>
            <w:tcBorders>
              <w:top w:val="single" w:sz="4" w:space="0" w:color="000000"/>
              <w:left w:val="single" w:sz="4" w:space="0" w:color="000000"/>
              <w:bottom w:val="single" w:sz="4" w:space="0" w:color="000000"/>
              <w:right w:val="single" w:sz="12" w:space="0" w:color="000000"/>
            </w:tcBorders>
            <w:vAlign w:val="center"/>
            <w:hideMark/>
          </w:tcPr>
          <w:p w:rsidR="00552AC8" w:rsidRDefault="00552AC8">
            <w:pPr>
              <w:spacing w:line="340" w:lineRule="exact"/>
              <w:jc w:val="center"/>
              <w:rPr>
                <w:rFonts w:ascii="標楷體" w:eastAsia="標楷體" w:hAnsi="標楷體"/>
              </w:rPr>
            </w:pPr>
            <w:r>
              <w:rPr>
                <w:rFonts w:ascii="標楷體" w:eastAsia="標楷體" w:hAnsi="標楷體"/>
                <w:noProof/>
              </w:rPr>
              <w:drawing>
                <wp:inline distT="0" distB="0" distL="0" distR="0" wp14:anchorId="42017AC0" wp14:editId="4DCEF52F">
                  <wp:extent cx="176530" cy="163830"/>
                  <wp:effectExtent l="0" t="0" r="0" b="7620"/>
                  <wp:docPr id="20" name="圖片 20" descr="Click To Downlo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lick To Download"/>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76530" cy="163830"/>
                          </a:xfrm>
                          <a:prstGeom prst="rect">
                            <a:avLst/>
                          </a:prstGeom>
                          <a:noFill/>
                          <a:ln>
                            <a:noFill/>
                          </a:ln>
                        </pic:spPr>
                      </pic:pic>
                    </a:graphicData>
                  </a:graphic>
                </wp:inline>
              </w:drawing>
            </w:r>
          </w:p>
        </w:tc>
      </w:tr>
      <w:tr w:rsidR="00552AC8" w:rsidTr="00552AC8">
        <w:trPr>
          <w:trHeight w:val="285"/>
          <w:tblCellSpacing w:w="0" w:type="dxa"/>
        </w:trPr>
        <w:tc>
          <w:tcPr>
            <w:tcW w:w="1669" w:type="pct"/>
            <w:tcBorders>
              <w:top w:val="single" w:sz="4" w:space="0" w:color="000000"/>
              <w:left w:val="single" w:sz="12" w:space="0" w:color="000000"/>
              <w:bottom w:val="single" w:sz="4" w:space="0" w:color="000000"/>
              <w:right w:val="single" w:sz="4" w:space="0" w:color="000000"/>
            </w:tcBorders>
            <w:vAlign w:val="bottom"/>
            <w:hideMark/>
          </w:tcPr>
          <w:p w:rsidR="00552AC8" w:rsidRDefault="00552AC8">
            <w:pPr>
              <w:spacing w:line="340" w:lineRule="exact"/>
              <w:rPr>
                <w:rFonts w:ascii="標楷體" w:eastAsia="標楷體" w:hAnsi="標楷體"/>
              </w:rPr>
            </w:pPr>
            <w:r>
              <w:rPr>
                <w:rFonts w:ascii="標楷體" w:eastAsia="標楷體" w:hAnsi="標楷體" w:hint="eastAsia"/>
              </w:rPr>
              <w:t>DSL CPE(DSL用戶端設備)</w:t>
            </w:r>
          </w:p>
        </w:tc>
        <w:tc>
          <w:tcPr>
            <w:tcW w:w="1666" w:type="pct"/>
            <w:tcBorders>
              <w:top w:val="single" w:sz="4" w:space="0" w:color="000000"/>
              <w:left w:val="single" w:sz="4" w:space="0" w:color="000000"/>
              <w:bottom w:val="single" w:sz="4" w:space="0" w:color="000000"/>
              <w:right w:val="single" w:sz="4" w:space="0" w:color="000000"/>
            </w:tcBorders>
            <w:shd w:val="clear" w:color="auto" w:fill="FFFFCC"/>
            <w:vAlign w:val="bottom"/>
            <w:hideMark/>
          </w:tcPr>
          <w:p w:rsidR="00552AC8" w:rsidRDefault="00552AC8">
            <w:pPr>
              <w:spacing w:line="340" w:lineRule="exact"/>
              <w:jc w:val="center"/>
              <w:rPr>
                <w:rFonts w:ascii="標楷體" w:eastAsia="標楷體" w:hAnsi="標楷體"/>
              </w:rPr>
            </w:pPr>
            <w:r>
              <w:rPr>
                <w:rFonts w:ascii="標楷體" w:eastAsia="標楷體" w:hAnsi="標楷體" w:hint="eastAsia"/>
              </w:rPr>
              <w:t>60.0%</w:t>
            </w:r>
          </w:p>
        </w:tc>
        <w:tc>
          <w:tcPr>
            <w:tcW w:w="1665" w:type="pct"/>
            <w:tcBorders>
              <w:top w:val="single" w:sz="4" w:space="0" w:color="000000"/>
              <w:left w:val="single" w:sz="4" w:space="0" w:color="000000"/>
              <w:bottom w:val="single" w:sz="4" w:space="0" w:color="000000"/>
              <w:right w:val="single" w:sz="12" w:space="0" w:color="000000"/>
            </w:tcBorders>
            <w:vAlign w:val="center"/>
            <w:hideMark/>
          </w:tcPr>
          <w:p w:rsidR="00552AC8" w:rsidRDefault="00552AC8">
            <w:pPr>
              <w:spacing w:line="340" w:lineRule="exact"/>
              <w:jc w:val="center"/>
              <w:rPr>
                <w:rFonts w:ascii="標楷體" w:eastAsia="標楷體" w:hAnsi="標楷體"/>
              </w:rPr>
            </w:pPr>
            <w:r>
              <w:rPr>
                <w:rFonts w:ascii="標楷體" w:eastAsia="標楷體" w:hAnsi="標楷體"/>
                <w:noProof/>
              </w:rPr>
              <w:drawing>
                <wp:inline distT="0" distB="0" distL="0" distR="0" wp14:anchorId="17A0F953" wp14:editId="15899230">
                  <wp:extent cx="176530" cy="163830"/>
                  <wp:effectExtent l="0" t="0" r="0" b="7620"/>
                  <wp:docPr id="19" name="圖片 19" descr="Click To Downlo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lick To Download"/>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76530" cy="163830"/>
                          </a:xfrm>
                          <a:prstGeom prst="rect">
                            <a:avLst/>
                          </a:prstGeom>
                          <a:noFill/>
                          <a:ln>
                            <a:noFill/>
                          </a:ln>
                        </pic:spPr>
                      </pic:pic>
                    </a:graphicData>
                  </a:graphic>
                </wp:inline>
              </w:drawing>
            </w:r>
          </w:p>
        </w:tc>
      </w:tr>
      <w:tr w:rsidR="00552AC8" w:rsidTr="00552AC8">
        <w:trPr>
          <w:trHeight w:val="285"/>
          <w:tblCellSpacing w:w="0" w:type="dxa"/>
        </w:trPr>
        <w:tc>
          <w:tcPr>
            <w:tcW w:w="1669" w:type="pct"/>
            <w:tcBorders>
              <w:top w:val="single" w:sz="4" w:space="0" w:color="000000"/>
              <w:left w:val="single" w:sz="12" w:space="0" w:color="000000"/>
              <w:bottom w:val="single" w:sz="4" w:space="0" w:color="000000"/>
              <w:right w:val="single" w:sz="4" w:space="0" w:color="000000"/>
            </w:tcBorders>
            <w:vAlign w:val="bottom"/>
            <w:hideMark/>
          </w:tcPr>
          <w:p w:rsidR="00552AC8" w:rsidRDefault="00552AC8">
            <w:pPr>
              <w:spacing w:line="340" w:lineRule="exact"/>
              <w:rPr>
                <w:rFonts w:ascii="標楷體" w:eastAsia="標楷體" w:hAnsi="標楷體"/>
              </w:rPr>
            </w:pPr>
            <w:r>
              <w:rPr>
                <w:rFonts w:ascii="標楷體" w:eastAsia="標楷體" w:hAnsi="標楷體" w:hint="eastAsia"/>
              </w:rPr>
              <w:t>IP STB(IP機上盒)</w:t>
            </w:r>
          </w:p>
        </w:tc>
        <w:tc>
          <w:tcPr>
            <w:tcW w:w="1666" w:type="pct"/>
            <w:tcBorders>
              <w:top w:val="single" w:sz="4" w:space="0" w:color="000000"/>
              <w:left w:val="single" w:sz="4" w:space="0" w:color="000000"/>
              <w:bottom w:val="single" w:sz="4" w:space="0" w:color="000000"/>
              <w:right w:val="single" w:sz="4" w:space="0" w:color="000000"/>
            </w:tcBorders>
            <w:shd w:val="clear" w:color="auto" w:fill="FFFFCC"/>
            <w:vAlign w:val="bottom"/>
            <w:hideMark/>
          </w:tcPr>
          <w:p w:rsidR="00552AC8" w:rsidRDefault="00552AC8">
            <w:pPr>
              <w:spacing w:line="340" w:lineRule="exact"/>
              <w:jc w:val="center"/>
              <w:rPr>
                <w:rFonts w:ascii="標楷體" w:eastAsia="標楷體" w:hAnsi="標楷體"/>
              </w:rPr>
            </w:pPr>
            <w:r>
              <w:rPr>
                <w:rFonts w:ascii="標楷體" w:eastAsia="標楷體" w:hAnsi="標楷體" w:hint="eastAsia"/>
              </w:rPr>
              <w:t>56.1%</w:t>
            </w:r>
          </w:p>
        </w:tc>
        <w:tc>
          <w:tcPr>
            <w:tcW w:w="1665" w:type="pct"/>
            <w:tcBorders>
              <w:top w:val="single" w:sz="4" w:space="0" w:color="000000"/>
              <w:left w:val="single" w:sz="4" w:space="0" w:color="000000"/>
              <w:bottom w:val="single" w:sz="4" w:space="0" w:color="000000"/>
              <w:right w:val="single" w:sz="12" w:space="0" w:color="000000"/>
            </w:tcBorders>
            <w:vAlign w:val="center"/>
            <w:hideMark/>
          </w:tcPr>
          <w:p w:rsidR="00552AC8" w:rsidRDefault="00552AC8">
            <w:pPr>
              <w:spacing w:line="340" w:lineRule="exact"/>
              <w:jc w:val="center"/>
              <w:rPr>
                <w:rFonts w:ascii="標楷體" w:eastAsia="標楷體" w:hAnsi="標楷體"/>
              </w:rPr>
            </w:pPr>
            <w:r>
              <w:rPr>
                <w:rFonts w:ascii="標楷體" w:eastAsia="標楷體" w:hAnsi="標楷體"/>
                <w:noProof/>
              </w:rPr>
              <w:drawing>
                <wp:inline distT="0" distB="0" distL="0" distR="0" wp14:anchorId="59B9F548" wp14:editId="4E03ADB0">
                  <wp:extent cx="176530" cy="163830"/>
                  <wp:effectExtent l="0" t="0" r="0" b="7620"/>
                  <wp:docPr id="18" name="圖片 18" descr="Click To Downlo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lick To Download"/>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76530" cy="163830"/>
                          </a:xfrm>
                          <a:prstGeom prst="rect">
                            <a:avLst/>
                          </a:prstGeom>
                          <a:noFill/>
                          <a:ln>
                            <a:noFill/>
                          </a:ln>
                        </pic:spPr>
                      </pic:pic>
                    </a:graphicData>
                  </a:graphic>
                </wp:inline>
              </w:drawing>
            </w:r>
          </w:p>
        </w:tc>
      </w:tr>
      <w:tr w:rsidR="00552AC8" w:rsidTr="00552AC8">
        <w:trPr>
          <w:trHeight w:val="285"/>
          <w:tblCellSpacing w:w="0" w:type="dxa"/>
        </w:trPr>
        <w:tc>
          <w:tcPr>
            <w:tcW w:w="1669" w:type="pct"/>
            <w:tcBorders>
              <w:top w:val="single" w:sz="4" w:space="0" w:color="000000"/>
              <w:left w:val="single" w:sz="12" w:space="0" w:color="000000"/>
              <w:bottom w:val="single" w:sz="4" w:space="0" w:color="000000"/>
              <w:right w:val="single" w:sz="4" w:space="0" w:color="000000"/>
            </w:tcBorders>
            <w:vAlign w:val="bottom"/>
            <w:hideMark/>
          </w:tcPr>
          <w:p w:rsidR="00552AC8" w:rsidRDefault="00552AC8">
            <w:pPr>
              <w:spacing w:line="340" w:lineRule="exact"/>
              <w:rPr>
                <w:rFonts w:ascii="標楷體" w:eastAsia="標楷體" w:hAnsi="標楷體"/>
              </w:rPr>
            </w:pPr>
            <w:r>
              <w:rPr>
                <w:rFonts w:ascii="標楷體" w:eastAsia="標楷體" w:hAnsi="標楷體" w:hint="eastAsia"/>
              </w:rPr>
              <w:t>DSC(數位相機)</w:t>
            </w:r>
          </w:p>
        </w:tc>
        <w:tc>
          <w:tcPr>
            <w:tcW w:w="1666" w:type="pct"/>
            <w:tcBorders>
              <w:top w:val="single" w:sz="4" w:space="0" w:color="000000"/>
              <w:left w:val="single" w:sz="4" w:space="0" w:color="000000"/>
              <w:bottom w:val="single" w:sz="4" w:space="0" w:color="000000"/>
              <w:right w:val="single" w:sz="4" w:space="0" w:color="000000"/>
            </w:tcBorders>
            <w:shd w:val="clear" w:color="auto" w:fill="FFFFCC"/>
            <w:vAlign w:val="bottom"/>
            <w:hideMark/>
          </w:tcPr>
          <w:p w:rsidR="00552AC8" w:rsidRDefault="00552AC8">
            <w:pPr>
              <w:spacing w:line="340" w:lineRule="exact"/>
              <w:jc w:val="center"/>
              <w:rPr>
                <w:rFonts w:ascii="標楷體" w:eastAsia="標楷體" w:hAnsi="標楷體"/>
              </w:rPr>
            </w:pPr>
            <w:r>
              <w:rPr>
                <w:rFonts w:ascii="標楷體" w:eastAsia="標楷體" w:hAnsi="標楷體" w:hint="eastAsia"/>
              </w:rPr>
              <w:t>42.6%</w:t>
            </w:r>
          </w:p>
        </w:tc>
        <w:tc>
          <w:tcPr>
            <w:tcW w:w="1665" w:type="pct"/>
            <w:tcBorders>
              <w:top w:val="single" w:sz="4" w:space="0" w:color="000000"/>
              <w:left w:val="single" w:sz="4" w:space="0" w:color="000000"/>
              <w:bottom w:val="single" w:sz="4" w:space="0" w:color="000000"/>
              <w:right w:val="single" w:sz="12" w:space="0" w:color="000000"/>
            </w:tcBorders>
            <w:vAlign w:val="center"/>
            <w:hideMark/>
          </w:tcPr>
          <w:p w:rsidR="00552AC8" w:rsidRDefault="00552AC8">
            <w:pPr>
              <w:spacing w:line="340" w:lineRule="exact"/>
              <w:jc w:val="center"/>
              <w:rPr>
                <w:rFonts w:ascii="標楷體" w:eastAsia="標楷體" w:hAnsi="標楷體"/>
              </w:rPr>
            </w:pPr>
            <w:r>
              <w:rPr>
                <w:rFonts w:ascii="標楷體" w:eastAsia="標楷體" w:hAnsi="標楷體"/>
                <w:noProof/>
              </w:rPr>
              <w:drawing>
                <wp:inline distT="0" distB="0" distL="0" distR="0" wp14:anchorId="7E2B0D4E" wp14:editId="54AA5768">
                  <wp:extent cx="176530" cy="163830"/>
                  <wp:effectExtent l="0" t="0" r="0" b="7620"/>
                  <wp:docPr id="17" name="圖片 17" descr="Click To Downlo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lick To Download"/>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76530" cy="163830"/>
                          </a:xfrm>
                          <a:prstGeom prst="rect">
                            <a:avLst/>
                          </a:prstGeom>
                          <a:noFill/>
                          <a:ln>
                            <a:noFill/>
                          </a:ln>
                        </pic:spPr>
                      </pic:pic>
                    </a:graphicData>
                  </a:graphic>
                </wp:inline>
              </w:drawing>
            </w:r>
          </w:p>
        </w:tc>
      </w:tr>
      <w:tr w:rsidR="00552AC8" w:rsidTr="00552AC8">
        <w:trPr>
          <w:trHeight w:val="285"/>
          <w:tblCellSpacing w:w="0" w:type="dxa"/>
        </w:trPr>
        <w:tc>
          <w:tcPr>
            <w:tcW w:w="1669" w:type="pct"/>
            <w:tcBorders>
              <w:top w:val="single" w:sz="4" w:space="0" w:color="000000"/>
              <w:left w:val="single" w:sz="12" w:space="0" w:color="000000"/>
              <w:bottom w:val="single" w:sz="4" w:space="0" w:color="000000"/>
              <w:right w:val="single" w:sz="4" w:space="0" w:color="000000"/>
            </w:tcBorders>
            <w:vAlign w:val="bottom"/>
            <w:hideMark/>
          </w:tcPr>
          <w:p w:rsidR="00552AC8" w:rsidRDefault="00552AC8">
            <w:pPr>
              <w:spacing w:line="340" w:lineRule="exact"/>
              <w:rPr>
                <w:rFonts w:ascii="標楷體" w:eastAsia="標楷體" w:hAnsi="標楷體"/>
              </w:rPr>
            </w:pPr>
            <w:r>
              <w:rPr>
                <w:rFonts w:ascii="標楷體" w:eastAsia="標楷體" w:hAnsi="標楷體" w:hint="eastAsia"/>
              </w:rPr>
              <w:t>Server (System)</w:t>
            </w:r>
          </w:p>
        </w:tc>
        <w:tc>
          <w:tcPr>
            <w:tcW w:w="1666" w:type="pct"/>
            <w:tcBorders>
              <w:top w:val="single" w:sz="4" w:space="0" w:color="000000"/>
              <w:left w:val="single" w:sz="4" w:space="0" w:color="000000"/>
              <w:bottom w:val="single" w:sz="4" w:space="0" w:color="000000"/>
              <w:right w:val="single" w:sz="4" w:space="0" w:color="000000"/>
            </w:tcBorders>
            <w:shd w:val="clear" w:color="auto" w:fill="FFFFCC"/>
            <w:vAlign w:val="bottom"/>
            <w:hideMark/>
          </w:tcPr>
          <w:p w:rsidR="00552AC8" w:rsidRDefault="00552AC8">
            <w:pPr>
              <w:spacing w:line="340" w:lineRule="exact"/>
              <w:jc w:val="center"/>
              <w:rPr>
                <w:rFonts w:ascii="標楷體" w:eastAsia="標楷體" w:hAnsi="標楷體"/>
              </w:rPr>
            </w:pPr>
            <w:r>
              <w:rPr>
                <w:rFonts w:ascii="標楷體" w:eastAsia="標楷體" w:hAnsi="標楷體" w:hint="eastAsia"/>
              </w:rPr>
              <w:t>54.5%</w:t>
            </w:r>
          </w:p>
        </w:tc>
        <w:tc>
          <w:tcPr>
            <w:tcW w:w="1665" w:type="pct"/>
            <w:tcBorders>
              <w:top w:val="single" w:sz="4" w:space="0" w:color="000000"/>
              <w:left w:val="single" w:sz="4" w:space="0" w:color="000000"/>
              <w:bottom w:val="single" w:sz="4" w:space="0" w:color="000000"/>
              <w:right w:val="single" w:sz="12" w:space="0" w:color="000000"/>
            </w:tcBorders>
            <w:vAlign w:val="center"/>
            <w:hideMark/>
          </w:tcPr>
          <w:p w:rsidR="00552AC8" w:rsidRDefault="00552AC8">
            <w:pPr>
              <w:spacing w:line="340" w:lineRule="exact"/>
              <w:jc w:val="center"/>
              <w:rPr>
                <w:rFonts w:ascii="標楷體" w:eastAsia="標楷體" w:hAnsi="標楷體"/>
              </w:rPr>
            </w:pPr>
            <w:r>
              <w:rPr>
                <w:rFonts w:ascii="標楷體" w:eastAsia="標楷體" w:hAnsi="標楷體"/>
                <w:noProof/>
              </w:rPr>
              <w:drawing>
                <wp:inline distT="0" distB="0" distL="0" distR="0" wp14:anchorId="25E8042E" wp14:editId="50F5128E">
                  <wp:extent cx="176530" cy="163830"/>
                  <wp:effectExtent l="0" t="0" r="0" b="7620"/>
                  <wp:docPr id="16" name="圖片 16" descr="Click To Downlo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lick To Download"/>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76530" cy="163830"/>
                          </a:xfrm>
                          <a:prstGeom prst="rect">
                            <a:avLst/>
                          </a:prstGeom>
                          <a:noFill/>
                          <a:ln>
                            <a:noFill/>
                          </a:ln>
                        </pic:spPr>
                      </pic:pic>
                    </a:graphicData>
                  </a:graphic>
                </wp:inline>
              </w:drawing>
            </w:r>
          </w:p>
        </w:tc>
      </w:tr>
      <w:tr w:rsidR="00552AC8" w:rsidTr="00552AC8">
        <w:trPr>
          <w:trHeight w:val="285"/>
          <w:tblCellSpacing w:w="0" w:type="dxa"/>
        </w:trPr>
        <w:tc>
          <w:tcPr>
            <w:tcW w:w="1669" w:type="pct"/>
            <w:tcBorders>
              <w:top w:val="single" w:sz="4" w:space="0" w:color="000000"/>
              <w:left w:val="single" w:sz="12" w:space="0" w:color="000000"/>
              <w:bottom w:val="single" w:sz="4" w:space="0" w:color="000000"/>
              <w:right w:val="single" w:sz="4" w:space="0" w:color="000000"/>
            </w:tcBorders>
            <w:vAlign w:val="bottom"/>
            <w:hideMark/>
          </w:tcPr>
          <w:p w:rsidR="00552AC8" w:rsidRDefault="00552AC8">
            <w:pPr>
              <w:spacing w:line="340" w:lineRule="exact"/>
              <w:rPr>
                <w:rFonts w:ascii="標楷體" w:eastAsia="標楷體" w:hAnsi="標楷體"/>
              </w:rPr>
            </w:pPr>
            <w:r>
              <w:rPr>
                <w:rFonts w:ascii="標楷體" w:eastAsia="標楷體" w:hAnsi="標楷體" w:hint="eastAsia"/>
              </w:rPr>
              <w:t>Desktop PC</w:t>
            </w:r>
          </w:p>
        </w:tc>
        <w:tc>
          <w:tcPr>
            <w:tcW w:w="1666" w:type="pct"/>
            <w:tcBorders>
              <w:top w:val="single" w:sz="4" w:space="0" w:color="000000"/>
              <w:left w:val="single" w:sz="4" w:space="0" w:color="000000"/>
              <w:bottom w:val="single" w:sz="4" w:space="0" w:color="000000"/>
              <w:right w:val="single" w:sz="4" w:space="0" w:color="000000"/>
            </w:tcBorders>
            <w:shd w:val="clear" w:color="auto" w:fill="FFFFCC"/>
            <w:vAlign w:val="bottom"/>
            <w:hideMark/>
          </w:tcPr>
          <w:p w:rsidR="00552AC8" w:rsidRDefault="00552AC8">
            <w:pPr>
              <w:spacing w:line="340" w:lineRule="exact"/>
              <w:jc w:val="center"/>
              <w:rPr>
                <w:rFonts w:ascii="標楷體" w:eastAsia="標楷體" w:hAnsi="標楷體"/>
              </w:rPr>
            </w:pPr>
            <w:r>
              <w:rPr>
                <w:rFonts w:ascii="標楷體" w:eastAsia="標楷體" w:hAnsi="標楷體" w:hint="eastAsia"/>
              </w:rPr>
              <w:t>45.7%</w:t>
            </w:r>
          </w:p>
        </w:tc>
        <w:tc>
          <w:tcPr>
            <w:tcW w:w="1665" w:type="pct"/>
            <w:tcBorders>
              <w:top w:val="single" w:sz="4" w:space="0" w:color="000000"/>
              <w:left w:val="single" w:sz="4" w:space="0" w:color="000000"/>
              <w:bottom w:val="single" w:sz="4" w:space="0" w:color="000000"/>
              <w:right w:val="single" w:sz="12" w:space="0" w:color="000000"/>
            </w:tcBorders>
            <w:vAlign w:val="center"/>
            <w:hideMark/>
          </w:tcPr>
          <w:p w:rsidR="00552AC8" w:rsidRDefault="00552AC8">
            <w:pPr>
              <w:spacing w:line="340" w:lineRule="exact"/>
              <w:jc w:val="center"/>
              <w:rPr>
                <w:rFonts w:ascii="標楷體" w:eastAsia="標楷體" w:hAnsi="標楷體"/>
              </w:rPr>
            </w:pPr>
            <w:r>
              <w:rPr>
                <w:rFonts w:ascii="標楷體" w:eastAsia="標楷體" w:hAnsi="標楷體"/>
                <w:noProof/>
              </w:rPr>
              <w:drawing>
                <wp:inline distT="0" distB="0" distL="0" distR="0" wp14:anchorId="64D5B41D" wp14:editId="756BB744">
                  <wp:extent cx="176530" cy="163830"/>
                  <wp:effectExtent l="0" t="0" r="0" b="7620"/>
                  <wp:docPr id="15" name="圖片 15" descr="Click To Downlo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descr="Click To Download"/>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76530" cy="163830"/>
                          </a:xfrm>
                          <a:prstGeom prst="rect">
                            <a:avLst/>
                          </a:prstGeom>
                          <a:noFill/>
                          <a:ln>
                            <a:noFill/>
                          </a:ln>
                        </pic:spPr>
                      </pic:pic>
                    </a:graphicData>
                  </a:graphic>
                </wp:inline>
              </w:drawing>
            </w:r>
          </w:p>
        </w:tc>
      </w:tr>
      <w:tr w:rsidR="00552AC8" w:rsidTr="00552AC8">
        <w:trPr>
          <w:trHeight w:val="285"/>
          <w:tblCellSpacing w:w="0" w:type="dxa"/>
        </w:trPr>
        <w:tc>
          <w:tcPr>
            <w:tcW w:w="1669" w:type="pct"/>
            <w:tcBorders>
              <w:top w:val="single" w:sz="4" w:space="0" w:color="000000"/>
              <w:left w:val="single" w:sz="12" w:space="0" w:color="000000"/>
              <w:bottom w:val="single" w:sz="4" w:space="0" w:color="000000"/>
              <w:right w:val="single" w:sz="4" w:space="0" w:color="000000"/>
            </w:tcBorders>
            <w:vAlign w:val="bottom"/>
            <w:hideMark/>
          </w:tcPr>
          <w:p w:rsidR="00552AC8" w:rsidRDefault="00552AC8">
            <w:pPr>
              <w:spacing w:line="340" w:lineRule="exact"/>
              <w:rPr>
                <w:rFonts w:ascii="標楷體" w:eastAsia="標楷體" w:hAnsi="標楷體"/>
              </w:rPr>
            </w:pPr>
            <w:r>
              <w:rPr>
                <w:rFonts w:ascii="標楷體" w:eastAsia="標楷體" w:hAnsi="標楷體" w:hint="eastAsia"/>
              </w:rPr>
              <w:t>Smartphone</w:t>
            </w:r>
          </w:p>
        </w:tc>
        <w:tc>
          <w:tcPr>
            <w:tcW w:w="1666" w:type="pct"/>
            <w:tcBorders>
              <w:top w:val="single" w:sz="4" w:space="0" w:color="000000"/>
              <w:left w:val="single" w:sz="4" w:space="0" w:color="000000"/>
              <w:bottom w:val="single" w:sz="4" w:space="0" w:color="000000"/>
              <w:right w:val="single" w:sz="4" w:space="0" w:color="000000"/>
            </w:tcBorders>
            <w:shd w:val="clear" w:color="auto" w:fill="FFFFCC"/>
            <w:vAlign w:val="bottom"/>
            <w:hideMark/>
          </w:tcPr>
          <w:p w:rsidR="00552AC8" w:rsidRDefault="00552AC8">
            <w:pPr>
              <w:spacing w:line="340" w:lineRule="exact"/>
              <w:jc w:val="center"/>
              <w:rPr>
                <w:rFonts w:ascii="標楷體" w:eastAsia="標楷體" w:hAnsi="標楷體"/>
              </w:rPr>
            </w:pPr>
            <w:r>
              <w:rPr>
                <w:rFonts w:ascii="標楷體" w:eastAsia="標楷體" w:hAnsi="標楷體" w:hint="eastAsia"/>
              </w:rPr>
              <w:t>29.9%</w:t>
            </w:r>
          </w:p>
        </w:tc>
        <w:tc>
          <w:tcPr>
            <w:tcW w:w="1665" w:type="pct"/>
            <w:tcBorders>
              <w:top w:val="single" w:sz="4" w:space="0" w:color="000000"/>
              <w:left w:val="single" w:sz="4" w:space="0" w:color="000000"/>
              <w:bottom w:val="single" w:sz="4" w:space="0" w:color="000000"/>
              <w:right w:val="single" w:sz="12" w:space="0" w:color="000000"/>
            </w:tcBorders>
            <w:vAlign w:val="center"/>
            <w:hideMark/>
          </w:tcPr>
          <w:p w:rsidR="00552AC8" w:rsidRDefault="00552AC8">
            <w:pPr>
              <w:spacing w:line="340" w:lineRule="exact"/>
              <w:jc w:val="center"/>
              <w:rPr>
                <w:rFonts w:ascii="標楷體" w:eastAsia="標楷體" w:hAnsi="標楷體"/>
              </w:rPr>
            </w:pPr>
            <w:r>
              <w:rPr>
                <w:rFonts w:ascii="標楷體" w:eastAsia="標楷體" w:hAnsi="標楷體" w:hint="eastAsia"/>
              </w:rPr>
              <w:t>非世界第一</w:t>
            </w:r>
          </w:p>
        </w:tc>
      </w:tr>
    </w:tbl>
    <w:p w:rsidR="00552AC8" w:rsidRDefault="00552AC8" w:rsidP="00552AC8">
      <w:pPr>
        <w:spacing w:line="280" w:lineRule="exact"/>
        <w:rPr>
          <w:rFonts w:ascii="標楷體" w:eastAsia="標楷體" w:hAnsi="標楷體"/>
          <w:sz w:val="22"/>
        </w:rPr>
      </w:pPr>
      <w:proofErr w:type="gramStart"/>
      <w:r>
        <w:rPr>
          <w:rFonts w:ascii="標楷體" w:eastAsia="標楷體" w:hAnsi="標楷體" w:hint="eastAsia"/>
          <w:sz w:val="22"/>
        </w:rPr>
        <w:t>註</w:t>
      </w:r>
      <w:proofErr w:type="gramEnd"/>
      <w:r>
        <w:rPr>
          <w:rFonts w:ascii="標楷體" w:eastAsia="標楷體" w:hAnsi="標楷體" w:hint="eastAsia"/>
          <w:sz w:val="22"/>
        </w:rPr>
        <w:t>1：筆記型電腦產銷數據包含</w:t>
      </w:r>
      <w:proofErr w:type="gramStart"/>
      <w:r>
        <w:rPr>
          <w:rFonts w:ascii="標楷體" w:eastAsia="標楷體" w:hAnsi="標楷體" w:hint="eastAsia"/>
          <w:sz w:val="22"/>
        </w:rPr>
        <w:t>主流筆電與小筆電等</w:t>
      </w:r>
      <w:proofErr w:type="gramEnd"/>
      <w:r>
        <w:rPr>
          <w:rFonts w:ascii="標楷體" w:eastAsia="標楷體" w:hAnsi="標楷體" w:hint="eastAsia"/>
          <w:sz w:val="22"/>
        </w:rPr>
        <w:t>產品型態</w:t>
      </w:r>
    </w:p>
    <w:p w:rsidR="00552AC8" w:rsidRDefault="00552AC8" w:rsidP="00552AC8">
      <w:pPr>
        <w:spacing w:line="280" w:lineRule="exact"/>
        <w:rPr>
          <w:rFonts w:ascii="標楷體" w:eastAsia="標楷體" w:hAnsi="標楷體"/>
          <w:sz w:val="22"/>
        </w:rPr>
      </w:pPr>
      <w:proofErr w:type="gramStart"/>
      <w:r>
        <w:rPr>
          <w:rFonts w:ascii="標楷體" w:eastAsia="標楷體" w:hAnsi="標楷體" w:hint="eastAsia"/>
          <w:sz w:val="22"/>
        </w:rPr>
        <w:t>註</w:t>
      </w:r>
      <w:proofErr w:type="gramEnd"/>
      <w:r>
        <w:rPr>
          <w:rFonts w:ascii="標楷體" w:eastAsia="標楷體" w:hAnsi="標楷體" w:hint="eastAsia"/>
          <w:sz w:val="22"/>
        </w:rPr>
        <w:t>2：主機板產銷數據包含純主機板、</w:t>
      </w:r>
      <w:proofErr w:type="gramStart"/>
      <w:r>
        <w:rPr>
          <w:rFonts w:ascii="標楷體" w:eastAsia="標楷體" w:hAnsi="標楷體" w:hint="eastAsia"/>
          <w:sz w:val="22"/>
        </w:rPr>
        <w:t>準</w:t>
      </w:r>
      <w:proofErr w:type="gramEnd"/>
      <w:r>
        <w:rPr>
          <w:rFonts w:ascii="標楷體" w:eastAsia="標楷體" w:hAnsi="標楷體" w:hint="eastAsia"/>
          <w:sz w:val="22"/>
        </w:rPr>
        <w:t>系統及全系統等出貨型態</w:t>
      </w:r>
    </w:p>
    <w:p w:rsidR="00552AC8" w:rsidRDefault="00552AC8" w:rsidP="00552AC8">
      <w:pPr>
        <w:spacing w:line="280" w:lineRule="exact"/>
        <w:rPr>
          <w:rFonts w:ascii="標楷體" w:eastAsia="標楷體" w:hAnsi="標楷體"/>
          <w:sz w:val="22"/>
        </w:rPr>
      </w:pPr>
      <w:proofErr w:type="gramStart"/>
      <w:r>
        <w:rPr>
          <w:rFonts w:ascii="標楷體" w:eastAsia="標楷體" w:hAnsi="標楷體" w:hint="eastAsia"/>
          <w:sz w:val="22"/>
        </w:rPr>
        <w:t>註</w:t>
      </w:r>
      <w:proofErr w:type="gramEnd"/>
      <w:r>
        <w:rPr>
          <w:rFonts w:ascii="標楷體" w:eastAsia="標楷體" w:hAnsi="標楷體" w:hint="eastAsia"/>
          <w:sz w:val="22"/>
        </w:rPr>
        <w:t>3：市場佔有率含海外生產</w:t>
      </w:r>
    </w:p>
    <w:p w:rsidR="00552AC8" w:rsidRDefault="00552AC8" w:rsidP="00552AC8">
      <w:pPr>
        <w:spacing w:line="300" w:lineRule="exact"/>
        <w:rPr>
          <w:rFonts w:ascii="標楷體" w:eastAsia="標楷體" w:hAnsi="標楷體"/>
          <w:sz w:val="22"/>
        </w:rPr>
      </w:pPr>
      <w:r>
        <w:rPr>
          <w:rFonts w:ascii="標楷體" w:eastAsia="標楷體" w:hAnsi="標楷體" w:hint="eastAsia"/>
          <w:sz w:val="22"/>
        </w:rPr>
        <w:t>資料來源：資策會MIC，2013年1月</w:t>
      </w:r>
    </w:p>
    <w:p w:rsidR="00C46DF0" w:rsidRPr="00830FA3" w:rsidRDefault="00C46DF0" w:rsidP="00830FA3">
      <w:pPr>
        <w:snapToGrid w:val="0"/>
        <w:spacing w:line="400" w:lineRule="exact"/>
        <w:jc w:val="both"/>
        <w:rPr>
          <w:rFonts w:eastAsia="標楷體"/>
          <w:sz w:val="28"/>
          <w:szCs w:val="28"/>
        </w:rPr>
      </w:pPr>
    </w:p>
    <w:p w:rsidR="00C46DF0" w:rsidRPr="00FF100D" w:rsidRDefault="00A3517D" w:rsidP="00C2544D">
      <w:pPr>
        <w:snapToGrid w:val="0"/>
        <w:spacing w:beforeLines="50" w:before="180" w:line="500" w:lineRule="exact"/>
        <w:jc w:val="both"/>
        <w:rPr>
          <w:rFonts w:eastAsia="標楷體"/>
          <w:sz w:val="32"/>
          <w:szCs w:val="32"/>
        </w:rPr>
      </w:pPr>
      <w:r w:rsidRPr="00FF100D">
        <w:rPr>
          <w:rFonts w:eastAsia="標楷體" w:hint="eastAsia"/>
          <w:sz w:val="32"/>
          <w:szCs w:val="32"/>
        </w:rPr>
        <w:t>三、</w:t>
      </w:r>
      <w:r w:rsidR="00CF5C20" w:rsidRPr="00FF100D">
        <w:rPr>
          <w:rFonts w:eastAsia="標楷體" w:hint="eastAsia"/>
          <w:sz w:val="32"/>
          <w:szCs w:val="32"/>
        </w:rPr>
        <w:t>透過</w:t>
      </w:r>
      <w:r w:rsidR="00CF5C20" w:rsidRPr="00FF100D">
        <w:rPr>
          <w:rFonts w:eastAsia="標楷體" w:hint="eastAsia"/>
          <w:sz w:val="32"/>
          <w:szCs w:val="32"/>
        </w:rPr>
        <w:t>ITA</w:t>
      </w:r>
      <w:r w:rsidRPr="00FF100D">
        <w:rPr>
          <w:rFonts w:eastAsia="標楷體" w:hint="eastAsia"/>
          <w:sz w:val="32"/>
          <w:szCs w:val="32"/>
        </w:rPr>
        <w:t>訴訟案，</w:t>
      </w:r>
      <w:r w:rsidR="00CF5C20" w:rsidRPr="00FF100D">
        <w:rPr>
          <w:rFonts w:eastAsia="標楷體" w:hint="eastAsia"/>
          <w:sz w:val="32"/>
          <w:szCs w:val="32"/>
        </w:rPr>
        <w:t>繼續為</w:t>
      </w:r>
      <w:r w:rsidRPr="00FF100D">
        <w:rPr>
          <w:rFonts w:eastAsia="標楷體" w:hint="eastAsia"/>
          <w:sz w:val="32"/>
          <w:szCs w:val="32"/>
        </w:rPr>
        <w:t>我業者</w:t>
      </w:r>
      <w:r w:rsidR="00CF5C20" w:rsidRPr="00FF100D">
        <w:rPr>
          <w:rFonts w:eastAsia="標楷體" w:hint="eastAsia"/>
          <w:sz w:val="32"/>
          <w:szCs w:val="32"/>
        </w:rPr>
        <w:t>爭取出口市場利益</w:t>
      </w:r>
    </w:p>
    <w:p w:rsidR="009614FD" w:rsidRPr="00FF100D" w:rsidRDefault="009614FD" w:rsidP="00C2544D">
      <w:pPr>
        <w:snapToGrid w:val="0"/>
        <w:spacing w:beforeLines="50" w:before="180" w:line="500" w:lineRule="exact"/>
        <w:jc w:val="both"/>
        <w:rPr>
          <w:rFonts w:eastAsia="標楷體"/>
          <w:sz w:val="32"/>
          <w:szCs w:val="32"/>
        </w:rPr>
      </w:pPr>
      <w:r w:rsidRPr="00FF100D">
        <w:rPr>
          <w:rFonts w:eastAsia="標楷體" w:hint="eastAsia"/>
          <w:sz w:val="32"/>
          <w:szCs w:val="32"/>
        </w:rPr>
        <w:t xml:space="preserve">　　由於歐盟違反</w:t>
      </w:r>
      <w:r w:rsidRPr="00FF100D">
        <w:rPr>
          <w:rFonts w:eastAsia="標楷體"/>
          <w:sz w:val="32"/>
          <w:szCs w:val="32"/>
        </w:rPr>
        <w:t>WTO</w:t>
      </w:r>
      <w:r w:rsidRPr="00FF100D">
        <w:rPr>
          <w:rFonts w:eastAsia="標楷體" w:hint="eastAsia"/>
          <w:sz w:val="32"/>
          <w:szCs w:val="32"/>
        </w:rPr>
        <w:t>資訊科技協定（</w:t>
      </w:r>
      <w:r w:rsidRPr="00FF100D">
        <w:rPr>
          <w:rFonts w:eastAsia="標楷體"/>
          <w:sz w:val="32"/>
          <w:szCs w:val="32"/>
        </w:rPr>
        <w:t>ITA</w:t>
      </w:r>
      <w:r w:rsidRPr="00FF100D">
        <w:rPr>
          <w:rFonts w:eastAsia="標楷體" w:hint="eastAsia"/>
          <w:sz w:val="32"/>
          <w:szCs w:val="32"/>
        </w:rPr>
        <w:t>）之承諾，對平面顯示器（</w:t>
      </w:r>
      <w:r w:rsidRPr="00FF100D">
        <w:rPr>
          <w:rFonts w:eastAsia="標楷體"/>
          <w:sz w:val="32"/>
          <w:szCs w:val="32"/>
        </w:rPr>
        <w:t>FPD</w:t>
      </w:r>
      <w:r w:rsidRPr="00FF100D">
        <w:rPr>
          <w:rFonts w:eastAsia="標楷體" w:hint="eastAsia"/>
          <w:sz w:val="32"/>
          <w:szCs w:val="32"/>
        </w:rPr>
        <w:t>）、多功能機上盒及多功能事務機等</w:t>
      </w:r>
      <w:r w:rsidRPr="00FF100D">
        <w:rPr>
          <w:rFonts w:eastAsia="標楷體"/>
          <w:sz w:val="32"/>
          <w:szCs w:val="32"/>
        </w:rPr>
        <w:t>3</w:t>
      </w:r>
      <w:r w:rsidRPr="00FF100D">
        <w:rPr>
          <w:rFonts w:eastAsia="標楷體" w:hint="eastAsia"/>
          <w:sz w:val="32"/>
          <w:szCs w:val="32"/>
        </w:rPr>
        <w:t>項</w:t>
      </w:r>
      <w:r w:rsidRPr="00FF100D">
        <w:rPr>
          <w:rFonts w:eastAsia="標楷體"/>
          <w:sz w:val="32"/>
          <w:szCs w:val="32"/>
        </w:rPr>
        <w:t>IT</w:t>
      </w:r>
      <w:r w:rsidRPr="00FF100D">
        <w:rPr>
          <w:rFonts w:eastAsia="標楷體" w:hint="eastAsia"/>
          <w:sz w:val="32"/>
          <w:szCs w:val="32"/>
        </w:rPr>
        <w:t>產品，課徵</w:t>
      </w:r>
      <w:r w:rsidRPr="00FF100D">
        <w:rPr>
          <w:rFonts w:eastAsia="標楷體"/>
          <w:sz w:val="32"/>
          <w:szCs w:val="32"/>
        </w:rPr>
        <w:t>6%-14%</w:t>
      </w:r>
      <w:r w:rsidRPr="00FF100D">
        <w:rPr>
          <w:rFonts w:eastAsia="標楷體" w:hint="eastAsia"/>
          <w:sz w:val="32"/>
          <w:szCs w:val="32"/>
        </w:rPr>
        <w:t>不等之關稅，我國廠商之權益嚴重受損，據統計我國</w:t>
      </w:r>
      <w:r w:rsidRPr="00FF100D">
        <w:rPr>
          <w:rFonts w:eastAsia="標楷體"/>
          <w:sz w:val="32"/>
          <w:szCs w:val="32"/>
        </w:rPr>
        <w:t>2007</w:t>
      </w:r>
      <w:r w:rsidRPr="00FF100D">
        <w:rPr>
          <w:rFonts w:eastAsia="標楷體" w:hint="eastAsia"/>
          <w:sz w:val="32"/>
          <w:szCs w:val="32"/>
        </w:rPr>
        <w:t>年生產</w:t>
      </w:r>
      <w:r w:rsidRPr="00FF100D">
        <w:rPr>
          <w:rFonts w:eastAsia="標楷體"/>
          <w:sz w:val="32"/>
          <w:szCs w:val="32"/>
        </w:rPr>
        <w:t>19</w:t>
      </w:r>
      <w:r w:rsidRPr="00FF100D">
        <w:rPr>
          <w:rFonts w:eastAsia="標楷體" w:hint="eastAsia"/>
          <w:sz w:val="32"/>
          <w:szCs w:val="32"/>
        </w:rPr>
        <w:t>吋以上之平面顯示器輸歐盟總值高達新台幣</w:t>
      </w:r>
      <w:r w:rsidRPr="00FF100D">
        <w:rPr>
          <w:rFonts w:eastAsia="標楷體"/>
          <w:sz w:val="32"/>
          <w:szCs w:val="32"/>
        </w:rPr>
        <w:t>1,400</w:t>
      </w:r>
      <w:r w:rsidRPr="00FF100D">
        <w:rPr>
          <w:rFonts w:eastAsia="標楷體" w:hint="eastAsia"/>
          <w:sz w:val="32"/>
          <w:szCs w:val="32"/>
        </w:rPr>
        <w:t>億元，為維護業者利益，</w:t>
      </w:r>
      <w:r w:rsidRPr="00FF100D">
        <w:rPr>
          <w:rFonts w:eastAsia="標楷體" w:hint="eastAsia"/>
          <w:sz w:val="32"/>
          <w:szCs w:val="32"/>
        </w:rPr>
        <w:t>2008</w:t>
      </w:r>
      <w:r w:rsidRPr="00FF100D">
        <w:rPr>
          <w:rFonts w:eastAsia="標楷體" w:hint="eastAsia"/>
          <w:sz w:val="32"/>
          <w:szCs w:val="32"/>
        </w:rPr>
        <w:t>年我國乃與美、日兩國結盟，共同向</w:t>
      </w:r>
      <w:r w:rsidRPr="00FF100D">
        <w:rPr>
          <w:rFonts w:eastAsia="標楷體"/>
          <w:sz w:val="32"/>
          <w:szCs w:val="32"/>
        </w:rPr>
        <w:t>WTO</w:t>
      </w:r>
      <w:r w:rsidRPr="00FF100D">
        <w:rPr>
          <w:rFonts w:eastAsia="標楷體" w:hint="eastAsia"/>
          <w:sz w:val="32"/>
          <w:szCs w:val="32"/>
        </w:rPr>
        <w:t>要求成立爭端審議小組審議本案。</w:t>
      </w:r>
    </w:p>
    <w:p w:rsidR="009614FD" w:rsidRPr="00FF100D" w:rsidRDefault="009614FD" w:rsidP="00C2544D">
      <w:pPr>
        <w:snapToGrid w:val="0"/>
        <w:spacing w:beforeLines="50" w:before="180" w:line="500" w:lineRule="exact"/>
        <w:jc w:val="both"/>
        <w:rPr>
          <w:rFonts w:eastAsia="標楷體"/>
          <w:sz w:val="32"/>
          <w:szCs w:val="32"/>
        </w:rPr>
      </w:pPr>
      <w:r w:rsidRPr="00FF100D">
        <w:rPr>
          <w:rFonts w:eastAsia="標楷體" w:hint="eastAsia"/>
          <w:sz w:val="32"/>
          <w:szCs w:val="32"/>
        </w:rPr>
        <w:t xml:space="preserve">　　本案歷經</w:t>
      </w:r>
      <w:r w:rsidRPr="00FF100D">
        <w:rPr>
          <w:rFonts w:eastAsia="標楷體"/>
          <w:sz w:val="32"/>
          <w:szCs w:val="32"/>
        </w:rPr>
        <w:t>2</w:t>
      </w:r>
      <w:r w:rsidRPr="00FF100D">
        <w:rPr>
          <w:rFonts w:eastAsia="標楷體" w:hint="eastAsia"/>
          <w:sz w:val="32"/>
          <w:szCs w:val="32"/>
        </w:rPr>
        <w:t>年多之訴訟程序，</w:t>
      </w:r>
      <w:r w:rsidRPr="00FF100D">
        <w:rPr>
          <w:rFonts w:eastAsia="標楷體"/>
          <w:sz w:val="32"/>
          <w:szCs w:val="32"/>
        </w:rPr>
        <w:t>WTO</w:t>
      </w:r>
      <w:r w:rsidRPr="00FF100D">
        <w:rPr>
          <w:rFonts w:eastAsia="標楷體" w:hint="eastAsia"/>
          <w:sz w:val="32"/>
          <w:szCs w:val="32"/>
        </w:rPr>
        <w:t>之爭端解決機構（</w:t>
      </w:r>
      <w:r w:rsidRPr="00FF100D">
        <w:rPr>
          <w:rFonts w:eastAsia="標楷體"/>
          <w:sz w:val="32"/>
          <w:szCs w:val="32"/>
        </w:rPr>
        <w:t>DSB</w:t>
      </w:r>
      <w:r w:rsidRPr="00FF100D">
        <w:rPr>
          <w:rFonts w:eastAsia="標楷體" w:hint="eastAsia"/>
          <w:sz w:val="32"/>
          <w:szCs w:val="32"/>
        </w:rPr>
        <w:t>）於</w:t>
      </w:r>
      <w:r w:rsidRPr="00FF100D">
        <w:rPr>
          <w:rFonts w:eastAsia="標楷體"/>
          <w:sz w:val="32"/>
          <w:szCs w:val="32"/>
        </w:rPr>
        <w:t>99</w:t>
      </w:r>
      <w:r w:rsidRPr="00FF100D">
        <w:rPr>
          <w:rFonts w:eastAsia="標楷體" w:hint="eastAsia"/>
          <w:sz w:val="32"/>
          <w:szCs w:val="32"/>
        </w:rPr>
        <w:t>年</w:t>
      </w:r>
      <w:smartTag w:uri="urn:schemas-microsoft-com:office:smarttags" w:element="chsdate">
        <w:smartTagPr>
          <w:attr w:name="Year" w:val="2011"/>
          <w:attr w:name="Month" w:val="9"/>
          <w:attr w:name="Day" w:val="21"/>
          <w:attr w:name="IsLunarDate" w:val="False"/>
          <w:attr w:name="IsROCDate" w:val="False"/>
        </w:smartTagPr>
        <w:r w:rsidRPr="00FF100D">
          <w:rPr>
            <w:rFonts w:eastAsia="標楷體"/>
            <w:sz w:val="32"/>
            <w:szCs w:val="32"/>
          </w:rPr>
          <w:t>9</w:t>
        </w:r>
        <w:r w:rsidRPr="00FF100D">
          <w:rPr>
            <w:rFonts w:eastAsia="標楷體" w:hint="eastAsia"/>
            <w:sz w:val="32"/>
            <w:szCs w:val="32"/>
          </w:rPr>
          <w:t>月</w:t>
        </w:r>
        <w:r w:rsidRPr="00FF100D">
          <w:rPr>
            <w:rFonts w:eastAsia="標楷體"/>
            <w:sz w:val="32"/>
            <w:szCs w:val="32"/>
          </w:rPr>
          <w:t>21</w:t>
        </w:r>
        <w:r w:rsidRPr="00FF100D">
          <w:rPr>
            <w:rFonts w:eastAsia="標楷體" w:hint="eastAsia"/>
            <w:sz w:val="32"/>
            <w:szCs w:val="32"/>
          </w:rPr>
          <w:t>日</w:t>
        </w:r>
      </w:smartTag>
      <w:proofErr w:type="gramStart"/>
      <w:r w:rsidRPr="00FF100D">
        <w:rPr>
          <w:rFonts w:eastAsia="標楷體" w:hint="eastAsia"/>
          <w:sz w:val="32"/>
          <w:szCs w:val="32"/>
        </w:rPr>
        <w:t>採</w:t>
      </w:r>
      <w:proofErr w:type="gramEnd"/>
      <w:r w:rsidRPr="00FF100D">
        <w:rPr>
          <w:rFonts w:eastAsia="標楷體" w:hint="eastAsia"/>
          <w:sz w:val="32"/>
          <w:szCs w:val="32"/>
        </w:rPr>
        <w:t>認本案爭端小組報告，判決我與美日等原告方獲勝。歐盟於敗訴後放棄上訴，雙方並達成歐方應於</w:t>
      </w:r>
      <w:r w:rsidRPr="00FF100D">
        <w:rPr>
          <w:rFonts w:eastAsia="標楷體"/>
          <w:sz w:val="32"/>
          <w:szCs w:val="32"/>
        </w:rPr>
        <w:t>2011</w:t>
      </w:r>
      <w:r w:rsidRPr="00FF100D">
        <w:rPr>
          <w:rFonts w:eastAsia="標楷體" w:hint="eastAsia"/>
          <w:sz w:val="32"/>
          <w:szCs w:val="32"/>
        </w:rPr>
        <w:t>年</w:t>
      </w:r>
      <w:r w:rsidRPr="00FF100D">
        <w:rPr>
          <w:rFonts w:eastAsia="標楷體"/>
          <w:sz w:val="32"/>
          <w:szCs w:val="32"/>
        </w:rPr>
        <w:t>6</w:t>
      </w:r>
      <w:r w:rsidRPr="00FF100D">
        <w:rPr>
          <w:rFonts w:eastAsia="標楷體" w:hint="eastAsia"/>
          <w:sz w:val="32"/>
          <w:szCs w:val="32"/>
        </w:rPr>
        <w:t>月</w:t>
      </w:r>
      <w:r w:rsidRPr="00FF100D">
        <w:rPr>
          <w:rFonts w:eastAsia="標楷體"/>
          <w:sz w:val="32"/>
          <w:szCs w:val="32"/>
        </w:rPr>
        <w:t>30</w:t>
      </w:r>
      <w:r w:rsidRPr="00FF100D">
        <w:rPr>
          <w:rFonts w:eastAsia="標楷體" w:hint="eastAsia"/>
          <w:sz w:val="32"/>
          <w:szCs w:val="32"/>
        </w:rPr>
        <w:t>日前應移除本案違法措施之協議。</w:t>
      </w:r>
    </w:p>
    <w:p w:rsidR="009614FD" w:rsidRPr="00FF100D" w:rsidRDefault="009614FD" w:rsidP="00C2544D">
      <w:pPr>
        <w:snapToGrid w:val="0"/>
        <w:spacing w:beforeLines="50" w:before="180" w:line="500" w:lineRule="exact"/>
        <w:jc w:val="both"/>
        <w:rPr>
          <w:rFonts w:eastAsia="標楷體"/>
          <w:sz w:val="32"/>
          <w:szCs w:val="32"/>
        </w:rPr>
      </w:pPr>
      <w:r w:rsidRPr="00FF100D">
        <w:rPr>
          <w:rFonts w:eastAsia="標楷體" w:hint="eastAsia"/>
          <w:sz w:val="32"/>
          <w:szCs w:val="32"/>
        </w:rPr>
        <w:t xml:space="preserve">　　歐方已於</w:t>
      </w:r>
      <w:r w:rsidRPr="00FF100D">
        <w:rPr>
          <w:rFonts w:eastAsia="標楷體"/>
          <w:sz w:val="32"/>
          <w:szCs w:val="32"/>
        </w:rPr>
        <w:t>2011</w:t>
      </w:r>
      <w:r w:rsidRPr="00FF100D">
        <w:rPr>
          <w:rFonts w:eastAsia="標楷體" w:hint="eastAsia"/>
          <w:sz w:val="32"/>
          <w:szCs w:val="32"/>
        </w:rPr>
        <w:t>年</w:t>
      </w:r>
      <w:r w:rsidRPr="00FF100D">
        <w:rPr>
          <w:rFonts w:eastAsia="標楷體"/>
          <w:sz w:val="32"/>
          <w:szCs w:val="32"/>
        </w:rPr>
        <w:t>6</w:t>
      </w:r>
      <w:r w:rsidRPr="00FF100D">
        <w:rPr>
          <w:rFonts w:eastAsia="標楷體" w:hint="eastAsia"/>
          <w:sz w:val="32"/>
          <w:szCs w:val="32"/>
        </w:rPr>
        <w:t>月</w:t>
      </w:r>
      <w:r w:rsidRPr="00FF100D">
        <w:rPr>
          <w:rFonts w:eastAsia="標楷體"/>
          <w:sz w:val="32"/>
          <w:szCs w:val="32"/>
        </w:rPr>
        <w:t>24</w:t>
      </w:r>
      <w:r w:rsidRPr="00FF100D">
        <w:rPr>
          <w:rFonts w:eastAsia="標楷體" w:hint="eastAsia"/>
          <w:sz w:val="32"/>
          <w:szCs w:val="32"/>
        </w:rPr>
        <w:t>日前移除對三項產品之違法課稅措施，另於去（</w:t>
      </w:r>
      <w:r w:rsidRPr="00FF100D">
        <w:rPr>
          <w:rFonts w:eastAsia="標楷體"/>
          <w:sz w:val="32"/>
          <w:szCs w:val="32"/>
        </w:rPr>
        <w:t>2012</w:t>
      </w:r>
      <w:r w:rsidRPr="00FF100D">
        <w:rPr>
          <w:rFonts w:eastAsia="標楷體" w:hint="eastAsia"/>
          <w:sz w:val="32"/>
          <w:szCs w:val="32"/>
        </w:rPr>
        <w:t>）年</w:t>
      </w:r>
      <w:r w:rsidRPr="00FF100D">
        <w:rPr>
          <w:rFonts w:eastAsia="標楷體"/>
          <w:sz w:val="32"/>
          <w:szCs w:val="32"/>
        </w:rPr>
        <w:t>3</w:t>
      </w:r>
      <w:r w:rsidRPr="00FF100D">
        <w:rPr>
          <w:rFonts w:eastAsia="標楷體" w:hint="eastAsia"/>
          <w:sz w:val="32"/>
          <w:szCs w:val="32"/>
        </w:rPr>
        <w:t>月初正式修改法令，規定使用無線連網科技</w:t>
      </w:r>
      <w:r w:rsidRPr="00FF100D">
        <w:rPr>
          <w:rFonts w:eastAsia="標楷體"/>
          <w:sz w:val="32"/>
          <w:szCs w:val="32"/>
        </w:rPr>
        <w:t>(</w:t>
      </w:r>
      <w:r w:rsidRPr="00FF100D">
        <w:rPr>
          <w:rFonts w:eastAsia="標楷體" w:hint="eastAsia"/>
          <w:sz w:val="32"/>
          <w:szCs w:val="32"/>
        </w:rPr>
        <w:t>例如</w:t>
      </w:r>
      <w:r w:rsidRPr="00FF100D">
        <w:rPr>
          <w:rFonts w:eastAsia="標楷體"/>
          <w:sz w:val="32"/>
          <w:szCs w:val="32"/>
        </w:rPr>
        <w:t>WLAN</w:t>
      </w:r>
      <w:r w:rsidRPr="00FF100D">
        <w:rPr>
          <w:rFonts w:eastAsia="標楷體" w:hint="eastAsia"/>
          <w:sz w:val="32"/>
          <w:szCs w:val="32"/>
        </w:rPr>
        <w:t>、</w:t>
      </w:r>
      <w:r w:rsidRPr="00FF100D">
        <w:rPr>
          <w:rFonts w:eastAsia="標楷體"/>
          <w:sz w:val="32"/>
          <w:szCs w:val="32"/>
        </w:rPr>
        <w:t>ISDN</w:t>
      </w:r>
      <w:r w:rsidRPr="00FF100D">
        <w:rPr>
          <w:rFonts w:eastAsia="標楷體" w:hint="eastAsia"/>
          <w:sz w:val="32"/>
          <w:szCs w:val="32"/>
        </w:rPr>
        <w:t>或乙太網路</w:t>
      </w:r>
      <w:r w:rsidRPr="00FF100D">
        <w:rPr>
          <w:rFonts w:eastAsia="標楷體"/>
          <w:sz w:val="32"/>
          <w:szCs w:val="32"/>
        </w:rPr>
        <w:t>)</w:t>
      </w:r>
      <w:r w:rsidRPr="00FF100D">
        <w:rPr>
          <w:rFonts w:eastAsia="標楷體" w:hint="eastAsia"/>
          <w:sz w:val="32"/>
          <w:szCs w:val="32"/>
        </w:rPr>
        <w:t>之</w:t>
      </w:r>
      <w:r w:rsidRPr="00FF100D">
        <w:rPr>
          <w:rFonts w:eastAsia="標楷體"/>
          <w:sz w:val="32"/>
          <w:szCs w:val="32"/>
        </w:rPr>
        <w:t>STB</w:t>
      </w:r>
      <w:r w:rsidRPr="00FF100D">
        <w:rPr>
          <w:rFonts w:eastAsia="標楷體" w:hint="eastAsia"/>
          <w:sz w:val="32"/>
          <w:szCs w:val="32"/>
        </w:rPr>
        <w:t>均可享零關稅。</w:t>
      </w:r>
    </w:p>
    <w:p w:rsidR="00990BAC" w:rsidRPr="00DC0F51" w:rsidRDefault="009614FD" w:rsidP="00DC0F51">
      <w:pPr>
        <w:snapToGrid w:val="0"/>
        <w:spacing w:beforeLines="50" w:before="180" w:line="500" w:lineRule="exact"/>
        <w:jc w:val="both"/>
        <w:rPr>
          <w:rFonts w:eastAsia="標楷體"/>
          <w:sz w:val="32"/>
          <w:szCs w:val="32"/>
        </w:rPr>
      </w:pPr>
      <w:r w:rsidRPr="00FF100D">
        <w:rPr>
          <w:rFonts w:eastAsia="標楷體" w:hint="eastAsia"/>
          <w:sz w:val="32"/>
          <w:szCs w:val="32"/>
        </w:rPr>
        <w:t xml:space="preserve">　　</w:t>
      </w:r>
      <w:r w:rsidRPr="00FF100D">
        <w:rPr>
          <w:rFonts w:eastAsia="標楷體" w:hint="eastAsia"/>
          <w:sz w:val="32"/>
          <w:szCs w:val="32"/>
        </w:rPr>
        <w:t>ITA</w:t>
      </w:r>
      <w:r w:rsidRPr="00FF100D">
        <w:rPr>
          <w:rFonts w:eastAsia="標楷體" w:hint="eastAsia"/>
          <w:sz w:val="32"/>
          <w:szCs w:val="32"/>
        </w:rPr>
        <w:t>訴訟案是我國首次在</w:t>
      </w:r>
      <w:r w:rsidRPr="00FF100D">
        <w:rPr>
          <w:rFonts w:eastAsia="標楷體" w:hint="eastAsia"/>
          <w:sz w:val="32"/>
          <w:szCs w:val="32"/>
        </w:rPr>
        <w:t>WTO</w:t>
      </w:r>
      <w:r w:rsidRPr="00FF100D">
        <w:rPr>
          <w:rFonts w:eastAsia="標楷體" w:hint="eastAsia"/>
          <w:sz w:val="32"/>
          <w:szCs w:val="32"/>
        </w:rPr>
        <w:t>提出之爭端案件，也是首件勝訴之爭端案件，是我國成功地為業者爭取到出口市場利益之重要典範。該爭端案所隱含的意義不僅只是歐盟市場而已，</w:t>
      </w:r>
      <w:r w:rsidR="0069533F" w:rsidRPr="00FF100D">
        <w:rPr>
          <w:rFonts w:eastAsia="標楷體" w:hint="eastAsia"/>
          <w:sz w:val="32"/>
          <w:szCs w:val="32"/>
        </w:rPr>
        <w:t>亦確保我國科技產品出口至其他</w:t>
      </w:r>
      <w:r w:rsidR="0069533F" w:rsidRPr="00FF100D">
        <w:rPr>
          <w:rFonts w:eastAsia="標楷體" w:hint="eastAsia"/>
          <w:sz w:val="32"/>
          <w:szCs w:val="32"/>
        </w:rPr>
        <w:t>ITA</w:t>
      </w:r>
      <w:r w:rsidR="0069533F" w:rsidRPr="00FF100D">
        <w:rPr>
          <w:rFonts w:eastAsia="標楷體" w:hint="eastAsia"/>
          <w:sz w:val="32"/>
          <w:szCs w:val="32"/>
        </w:rPr>
        <w:t>會員享有零關稅之待遇，對我國資訊產業出口利益極為重要。</w:t>
      </w:r>
    </w:p>
    <w:sectPr w:rsidR="00990BAC" w:rsidRPr="00DC0F51" w:rsidSect="00DC0F51">
      <w:footerReference w:type="default" r:id="rId10"/>
      <w:pgSz w:w="11906" w:h="16838"/>
      <w:pgMar w:top="1361" w:right="1701" w:bottom="1361" w:left="1701"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B1A29" w:rsidRDefault="00AB1A29" w:rsidP="00A3517D">
      <w:r>
        <w:separator/>
      </w:r>
    </w:p>
  </w:endnote>
  <w:endnote w:type="continuationSeparator" w:id="0">
    <w:p w:rsidR="00AB1A29" w:rsidRDefault="00AB1A29" w:rsidP="00A351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Book Antiqua">
    <w:panose1 w:val="02040602050305030304"/>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12236211"/>
      <w:docPartObj>
        <w:docPartGallery w:val="Page Numbers (Bottom of Page)"/>
        <w:docPartUnique/>
      </w:docPartObj>
    </w:sdtPr>
    <w:sdtEndPr/>
    <w:sdtContent>
      <w:p w:rsidR="00A3517D" w:rsidRDefault="00A3517D">
        <w:pPr>
          <w:pStyle w:val="a8"/>
          <w:jc w:val="center"/>
        </w:pPr>
        <w:r>
          <w:fldChar w:fldCharType="begin"/>
        </w:r>
        <w:r>
          <w:instrText>PAGE   \* MERGEFORMAT</w:instrText>
        </w:r>
        <w:r>
          <w:fldChar w:fldCharType="separate"/>
        </w:r>
        <w:r w:rsidR="00B678A1" w:rsidRPr="00B678A1">
          <w:rPr>
            <w:noProof/>
            <w:lang w:val="zh-TW"/>
          </w:rPr>
          <w:t>3</w:t>
        </w:r>
        <w:r>
          <w:fldChar w:fldCharType="end"/>
        </w:r>
      </w:p>
    </w:sdtContent>
  </w:sdt>
  <w:p w:rsidR="00A3517D" w:rsidRDefault="00A3517D">
    <w:pPr>
      <w:pStyle w:val="a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B1A29" w:rsidRDefault="00AB1A29" w:rsidP="00A3517D">
      <w:r>
        <w:separator/>
      </w:r>
    </w:p>
  </w:footnote>
  <w:footnote w:type="continuationSeparator" w:id="0">
    <w:p w:rsidR="00AB1A29" w:rsidRDefault="00AB1A29" w:rsidP="00A3517D">
      <w:r>
        <w:continuationSeparator/>
      </w:r>
    </w:p>
  </w:footnote>
  <w:footnote w:id="1">
    <w:p w:rsidR="00552AC8" w:rsidRDefault="00552AC8" w:rsidP="00552AC8">
      <w:pPr>
        <w:pStyle w:val="aa"/>
        <w:rPr>
          <w:rFonts w:ascii="標楷體" w:eastAsia="標楷體" w:hAnsi="標楷體"/>
          <w:sz w:val="24"/>
          <w:szCs w:val="24"/>
        </w:rPr>
      </w:pPr>
      <w:r>
        <w:rPr>
          <w:rStyle w:val="ac"/>
          <w:rFonts w:ascii="標楷體" w:eastAsia="標楷體" w:hAnsi="標楷體"/>
        </w:rPr>
        <w:footnoteRef/>
      </w:r>
      <w:r>
        <w:rPr>
          <w:rFonts w:ascii="標楷體" w:eastAsia="標楷體" w:hAnsi="標楷體" w:hint="eastAsia"/>
        </w:rPr>
        <w:t xml:space="preserve"> </w:t>
      </w:r>
      <w:r>
        <w:rPr>
          <w:rFonts w:ascii="標楷體" w:eastAsia="標楷體" w:hAnsi="標楷體" w:hint="eastAsia"/>
          <w:sz w:val="24"/>
          <w:szCs w:val="24"/>
        </w:rPr>
        <w:t>請參閱國家實驗研究院2011年3月29日新聞稿http://www.narl.org.tw/tw/news/news.php?news_id=707</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4410A6C"/>
    <w:multiLevelType w:val="hybridMultilevel"/>
    <w:tmpl w:val="6C2A1F88"/>
    <w:lvl w:ilvl="0" w:tplc="D7BCCD1A">
      <w:start w:val="1"/>
      <w:numFmt w:val="ideographLegalTraditional"/>
      <w:lvlText w:val="%1、"/>
      <w:lvlJc w:val="left"/>
      <w:pPr>
        <w:tabs>
          <w:tab w:val="num" w:pos="720"/>
        </w:tabs>
        <w:ind w:left="720" w:hanging="720"/>
      </w:pPr>
      <w:rPr>
        <w:rFonts w:hint="eastAsia"/>
      </w:rPr>
    </w:lvl>
    <w:lvl w:ilvl="1" w:tplc="25EE8370">
      <w:start w:val="1"/>
      <w:numFmt w:val="taiwaneseCountingThousand"/>
      <w:lvlText w:val="%2、"/>
      <w:lvlJc w:val="left"/>
      <w:pPr>
        <w:tabs>
          <w:tab w:val="num" w:pos="960"/>
        </w:tabs>
        <w:ind w:left="960" w:hanging="480"/>
      </w:pPr>
      <w:rPr>
        <w:rFonts w:hint="eastAsia"/>
        <w:lang w:val="en-US"/>
      </w:rPr>
    </w:lvl>
    <w:lvl w:ilvl="2" w:tplc="04090015">
      <w:start w:val="1"/>
      <w:numFmt w:val="taiwaneseCountingThousand"/>
      <w:lvlText w:val="%3、"/>
      <w:lvlJc w:val="left"/>
      <w:pPr>
        <w:tabs>
          <w:tab w:val="num" w:pos="1440"/>
        </w:tabs>
        <w:ind w:left="1440" w:hanging="480"/>
      </w:pPr>
      <w:rPr>
        <w:rFonts w:hint="eastAsia"/>
      </w:r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
    <w:nsid w:val="262D580A"/>
    <w:multiLevelType w:val="hybridMultilevel"/>
    <w:tmpl w:val="A6C6983E"/>
    <w:lvl w:ilvl="0" w:tplc="A7CCC04C">
      <w:start w:val="4"/>
      <w:numFmt w:val="taiwaneseCountingThousand"/>
      <w:lvlText w:val="%1、"/>
      <w:lvlJc w:val="left"/>
      <w:pPr>
        <w:ind w:left="576" w:hanging="576"/>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nsid w:val="289B049B"/>
    <w:multiLevelType w:val="hybridMultilevel"/>
    <w:tmpl w:val="774AC006"/>
    <w:lvl w:ilvl="0" w:tplc="5CACBB06">
      <w:start w:val="1"/>
      <w:numFmt w:val="taiwaneseCountingThousand"/>
      <w:lvlText w:val="(%1)"/>
      <w:lvlJc w:val="left"/>
      <w:pPr>
        <w:ind w:left="718" w:hanging="720"/>
      </w:pPr>
      <w:rPr>
        <w:rFonts w:hint="default"/>
      </w:rPr>
    </w:lvl>
    <w:lvl w:ilvl="1" w:tplc="04090019" w:tentative="1">
      <w:start w:val="1"/>
      <w:numFmt w:val="ideographTraditional"/>
      <w:lvlText w:val="%2、"/>
      <w:lvlJc w:val="left"/>
      <w:pPr>
        <w:ind w:left="958" w:hanging="480"/>
      </w:pPr>
    </w:lvl>
    <w:lvl w:ilvl="2" w:tplc="0409001B" w:tentative="1">
      <w:start w:val="1"/>
      <w:numFmt w:val="lowerRoman"/>
      <w:lvlText w:val="%3."/>
      <w:lvlJc w:val="right"/>
      <w:pPr>
        <w:ind w:left="1438" w:hanging="480"/>
      </w:pPr>
    </w:lvl>
    <w:lvl w:ilvl="3" w:tplc="0409000F" w:tentative="1">
      <w:start w:val="1"/>
      <w:numFmt w:val="decimal"/>
      <w:lvlText w:val="%4."/>
      <w:lvlJc w:val="left"/>
      <w:pPr>
        <w:ind w:left="1918" w:hanging="480"/>
      </w:pPr>
    </w:lvl>
    <w:lvl w:ilvl="4" w:tplc="04090019" w:tentative="1">
      <w:start w:val="1"/>
      <w:numFmt w:val="ideographTraditional"/>
      <w:lvlText w:val="%5、"/>
      <w:lvlJc w:val="left"/>
      <w:pPr>
        <w:ind w:left="2398" w:hanging="480"/>
      </w:pPr>
    </w:lvl>
    <w:lvl w:ilvl="5" w:tplc="0409001B" w:tentative="1">
      <w:start w:val="1"/>
      <w:numFmt w:val="lowerRoman"/>
      <w:lvlText w:val="%6."/>
      <w:lvlJc w:val="right"/>
      <w:pPr>
        <w:ind w:left="2878" w:hanging="480"/>
      </w:pPr>
    </w:lvl>
    <w:lvl w:ilvl="6" w:tplc="0409000F" w:tentative="1">
      <w:start w:val="1"/>
      <w:numFmt w:val="decimal"/>
      <w:lvlText w:val="%7."/>
      <w:lvlJc w:val="left"/>
      <w:pPr>
        <w:ind w:left="3358" w:hanging="480"/>
      </w:pPr>
    </w:lvl>
    <w:lvl w:ilvl="7" w:tplc="04090019" w:tentative="1">
      <w:start w:val="1"/>
      <w:numFmt w:val="ideographTraditional"/>
      <w:lvlText w:val="%8、"/>
      <w:lvlJc w:val="left"/>
      <w:pPr>
        <w:ind w:left="3838" w:hanging="480"/>
      </w:pPr>
    </w:lvl>
    <w:lvl w:ilvl="8" w:tplc="0409001B" w:tentative="1">
      <w:start w:val="1"/>
      <w:numFmt w:val="lowerRoman"/>
      <w:lvlText w:val="%9."/>
      <w:lvlJc w:val="right"/>
      <w:pPr>
        <w:ind w:left="4318" w:hanging="480"/>
      </w:pPr>
    </w:lvl>
  </w:abstractNum>
  <w:abstractNum w:abstractNumId="3">
    <w:nsid w:val="2FC67E36"/>
    <w:multiLevelType w:val="hybridMultilevel"/>
    <w:tmpl w:val="E918E7EE"/>
    <w:lvl w:ilvl="0" w:tplc="4ED25002">
      <w:start w:val="1"/>
      <w:numFmt w:val="decimal"/>
      <w:lvlText w:val="(%1)"/>
      <w:lvlJc w:val="left"/>
      <w:pPr>
        <w:ind w:left="1429" w:hanging="720"/>
      </w:pPr>
    </w:lvl>
    <w:lvl w:ilvl="1" w:tplc="04090019">
      <w:start w:val="1"/>
      <w:numFmt w:val="ideographTraditional"/>
      <w:lvlText w:val="%2、"/>
      <w:lvlJc w:val="left"/>
      <w:pPr>
        <w:ind w:left="1669" w:hanging="480"/>
      </w:pPr>
    </w:lvl>
    <w:lvl w:ilvl="2" w:tplc="0409001B">
      <w:start w:val="1"/>
      <w:numFmt w:val="lowerRoman"/>
      <w:lvlText w:val="%3."/>
      <w:lvlJc w:val="right"/>
      <w:pPr>
        <w:ind w:left="2149" w:hanging="480"/>
      </w:pPr>
    </w:lvl>
    <w:lvl w:ilvl="3" w:tplc="0409000F">
      <w:start w:val="1"/>
      <w:numFmt w:val="decimal"/>
      <w:lvlText w:val="%4."/>
      <w:lvlJc w:val="left"/>
      <w:pPr>
        <w:ind w:left="2629" w:hanging="480"/>
      </w:pPr>
    </w:lvl>
    <w:lvl w:ilvl="4" w:tplc="04090019">
      <w:start w:val="1"/>
      <w:numFmt w:val="ideographTraditional"/>
      <w:lvlText w:val="%5、"/>
      <w:lvlJc w:val="left"/>
      <w:pPr>
        <w:ind w:left="3109" w:hanging="480"/>
      </w:pPr>
    </w:lvl>
    <w:lvl w:ilvl="5" w:tplc="0409001B">
      <w:start w:val="1"/>
      <w:numFmt w:val="lowerRoman"/>
      <w:lvlText w:val="%6."/>
      <w:lvlJc w:val="right"/>
      <w:pPr>
        <w:ind w:left="3589" w:hanging="480"/>
      </w:pPr>
    </w:lvl>
    <w:lvl w:ilvl="6" w:tplc="0409000F">
      <w:start w:val="1"/>
      <w:numFmt w:val="decimal"/>
      <w:lvlText w:val="%7."/>
      <w:lvlJc w:val="left"/>
      <w:pPr>
        <w:ind w:left="4069" w:hanging="480"/>
      </w:pPr>
    </w:lvl>
    <w:lvl w:ilvl="7" w:tplc="04090019">
      <w:start w:val="1"/>
      <w:numFmt w:val="ideographTraditional"/>
      <w:lvlText w:val="%8、"/>
      <w:lvlJc w:val="left"/>
      <w:pPr>
        <w:ind w:left="4549" w:hanging="480"/>
      </w:pPr>
    </w:lvl>
    <w:lvl w:ilvl="8" w:tplc="0409001B">
      <w:start w:val="1"/>
      <w:numFmt w:val="lowerRoman"/>
      <w:lvlText w:val="%9."/>
      <w:lvlJc w:val="right"/>
      <w:pPr>
        <w:ind w:left="5029" w:hanging="480"/>
      </w:pPr>
    </w:lvl>
  </w:abstractNum>
  <w:abstractNum w:abstractNumId="4">
    <w:nsid w:val="43777DDC"/>
    <w:multiLevelType w:val="hybridMultilevel"/>
    <w:tmpl w:val="5848593C"/>
    <w:lvl w:ilvl="0" w:tplc="E168E81A">
      <w:start w:val="1"/>
      <w:numFmt w:val="taiwaneseCountingThousand"/>
      <w:lvlText w:val="(%1）"/>
      <w:lvlJc w:val="left"/>
      <w:pPr>
        <w:ind w:left="720" w:hanging="720"/>
      </w:pPr>
      <w:rPr>
        <w:rFonts w:hAnsi="標楷體"/>
      </w:rPr>
    </w:lvl>
    <w:lvl w:ilvl="1" w:tplc="0C0C95E4">
      <w:start w:val="1"/>
      <w:numFmt w:val="taiwaneseCountingThousand"/>
      <w:lvlText w:val="%2、"/>
      <w:lvlJc w:val="left"/>
      <w:pPr>
        <w:ind w:left="960" w:hanging="480"/>
      </w:pPr>
      <w:rPr>
        <w:rFonts w:ascii="Times New Roman" w:eastAsia="標楷體" w:hAnsi="標楷體" w:cs="Times New Roman"/>
        <w:sz w:val="32"/>
        <w:szCs w:val="32"/>
        <w:lang w:val="en-US"/>
      </w:rPr>
    </w:lvl>
    <w:lvl w:ilvl="2" w:tplc="C9729418">
      <w:start w:val="1"/>
      <w:numFmt w:val="taiwaneseCountingThousand"/>
      <w:lvlText w:val="%3、"/>
      <w:lvlJc w:val="left"/>
      <w:pPr>
        <w:ind w:left="1680" w:hanging="720"/>
      </w:pPr>
      <w:rPr>
        <w:lang w:val="en-US"/>
      </w:r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5">
    <w:nsid w:val="4E9B5B89"/>
    <w:multiLevelType w:val="hybridMultilevel"/>
    <w:tmpl w:val="D2023A96"/>
    <w:lvl w:ilvl="0" w:tplc="08A4E3D6">
      <w:start w:val="1"/>
      <w:numFmt w:val="decimal"/>
      <w:lvlText w:val="%1."/>
      <w:lvlJc w:val="left"/>
      <w:pPr>
        <w:ind w:left="1400" w:hanging="360"/>
      </w:pPr>
      <w:rPr>
        <w:rFonts w:ascii="Times New Roman" w:eastAsia="標楷體" w:hAnsi="Times New Roman" w:cs="Times New Roman"/>
      </w:rPr>
    </w:lvl>
    <w:lvl w:ilvl="1" w:tplc="04090019">
      <w:start w:val="1"/>
      <w:numFmt w:val="lowerLetter"/>
      <w:lvlText w:val="%2."/>
      <w:lvlJc w:val="left"/>
      <w:pPr>
        <w:ind w:left="2120" w:hanging="360"/>
      </w:pPr>
    </w:lvl>
    <w:lvl w:ilvl="2" w:tplc="0409001B">
      <w:start w:val="1"/>
      <w:numFmt w:val="lowerRoman"/>
      <w:lvlText w:val="%3."/>
      <w:lvlJc w:val="right"/>
      <w:pPr>
        <w:ind w:left="2840" w:hanging="180"/>
      </w:pPr>
    </w:lvl>
    <w:lvl w:ilvl="3" w:tplc="0409000F">
      <w:start w:val="1"/>
      <w:numFmt w:val="decimal"/>
      <w:lvlText w:val="%4."/>
      <w:lvlJc w:val="left"/>
      <w:pPr>
        <w:ind w:left="3560" w:hanging="360"/>
      </w:pPr>
    </w:lvl>
    <w:lvl w:ilvl="4" w:tplc="04090019">
      <w:start w:val="1"/>
      <w:numFmt w:val="lowerLetter"/>
      <w:lvlText w:val="%5."/>
      <w:lvlJc w:val="left"/>
      <w:pPr>
        <w:ind w:left="4280" w:hanging="360"/>
      </w:pPr>
    </w:lvl>
    <w:lvl w:ilvl="5" w:tplc="0409001B">
      <w:start w:val="1"/>
      <w:numFmt w:val="lowerRoman"/>
      <w:lvlText w:val="%6."/>
      <w:lvlJc w:val="right"/>
      <w:pPr>
        <w:ind w:left="5000" w:hanging="180"/>
      </w:pPr>
    </w:lvl>
    <w:lvl w:ilvl="6" w:tplc="0409000F">
      <w:start w:val="1"/>
      <w:numFmt w:val="decimal"/>
      <w:lvlText w:val="%7."/>
      <w:lvlJc w:val="left"/>
      <w:pPr>
        <w:ind w:left="5720" w:hanging="360"/>
      </w:pPr>
    </w:lvl>
    <w:lvl w:ilvl="7" w:tplc="04090019">
      <w:start w:val="1"/>
      <w:numFmt w:val="lowerLetter"/>
      <w:lvlText w:val="%8."/>
      <w:lvlJc w:val="left"/>
      <w:pPr>
        <w:ind w:left="6440" w:hanging="360"/>
      </w:pPr>
    </w:lvl>
    <w:lvl w:ilvl="8" w:tplc="0409001B">
      <w:start w:val="1"/>
      <w:numFmt w:val="lowerRoman"/>
      <w:lvlText w:val="%9."/>
      <w:lvlJc w:val="right"/>
      <w:pPr>
        <w:ind w:left="7160" w:hanging="180"/>
      </w:pPr>
    </w:lvl>
  </w:abstractNum>
  <w:abstractNum w:abstractNumId="6">
    <w:nsid w:val="5290365E"/>
    <w:multiLevelType w:val="hybridMultilevel"/>
    <w:tmpl w:val="3FFC1DB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nsid w:val="611C366F"/>
    <w:multiLevelType w:val="hybridMultilevel"/>
    <w:tmpl w:val="8A742CCE"/>
    <w:lvl w:ilvl="0" w:tplc="BCE40D90">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0"/>
  </w:num>
  <w:num w:numId="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num>
  <w:num w:numId="6">
    <w:abstractNumId w:val="7"/>
  </w:num>
  <w:num w:numId="7">
    <w:abstractNumId w:val="6"/>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embedSystemFonts/>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90BAC"/>
    <w:rsid w:val="00144CB4"/>
    <w:rsid w:val="00155ECC"/>
    <w:rsid w:val="00171C36"/>
    <w:rsid w:val="00172475"/>
    <w:rsid w:val="00184153"/>
    <w:rsid w:val="00201255"/>
    <w:rsid w:val="00211906"/>
    <w:rsid w:val="00275685"/>
    <w:rsid w:val="003041AC"/>
    <w:rsid w:val="003406C2"/>
    <w:rsid w:val="003F7BF6"/>
    <w:rsid w:val="00470EC8"/>
    <w:rsid w:val="00552AC8"/>
    <w:rsid w:val="005C483A"/>
    <w:rsid w:val="006002FD"/>
    <w:rsid w:val="0069533F"/>
    <w:rsid w:val="006C56A3"/>
    <w:rsid w:val="006E2EA3"/>
    <w:rsid w:val="00791AF0"/>
    <w:rsid w:val="007F6ED2"/>
    <w:rsid w:val="00817675"/>
    <w:rsid w:val="00830FA3"/>
    <w:rsid w:val="0085466C"/>
    <w:rsid w:val="009614FD"/>
    <w:rsid w:val="00990BAC"/>
    <w:rsid w:val="00A3517D"/>
    <w:rsid w:val="00AB1A29"/>
    <w:rsid w:val="00B3270F"/>
    <w:rsid w:val="00B678A1"/>
    <w:rsid w:val="00B73089"/>
    <w:rsid w:val="00BC49A5"/>
    <w:rsid w:val="00C2544D"/>
    <w:rsid w:val="00C46DF0"/>
    <w:rsid w:val="00C87467"/>
    <w:rsid w:val="00CF5C20"/>
    <w:rsid w:val="00DC0F51"/>
    <w:rsid w:val="00E77F98"/>
    <w:rsid w:val="00E800A2"/>
    <w:rsid w:val="00ED35D4"/>
    <w:rsid w:val="00F05A0D"/>
    <w:rsid w:val="00F31938"/>
    <w:rsid w:val="00FE02BD"/>
    <w:rsid w:val="00FF100D"/>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hsdate"/>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footer" w:uiPriority="99"/>
    <w:lsdException w:name="caption" w:semiHidden="1" w:unhideWhenUsed="1" w:qFormat="1"/>
    <w:lsdException w:name="footnote reference" w:uiPriority="99"/>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widowControl w:val="0"/>
    </w:pPr>
    <w:rPr>
      <w:kern w:val="2"/>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文章內文"/>
    <w:basedOn w:val="Web"/>
    <w:rsid w:val="00A3517D"/>
    <w:pPr>
      <w:widowControl/>
      <w:tabs>
        <w:tab w:val="left" w:pos="7876"/>
      </w:tabs>
      <w:spacing w:beforeLines="50" w:afterLines="50" w:line="360" w:lineRule="exact"/>
      <w:ind w:leftChars="1022" w:left="2453"/>
      <w:jc w:val="both"/>
    </w:pPr>
    <w:rPr>
      <w:rFonts w:ascii="Book Antiqua" w:hAnsi="Book Antiqua"/>
      <w:kern w:val="0"/>
      <w:sz w:val="22"/>
    </w:rPr>
  </w:style>
  <w:style w:type="paragraph" w:styleId="Web">
    <w:name w:val="Normal (Web)"/>
    <w:basedOn w:val="a"/>
    <w:rsid w:val="00A3517D"/>
  </w:style>
  <w:style w:type="paragraph" w:styleId="a4">
    <w:name w:val="Balloon Text"/>
    <w:basedOn w:val="a"/>
    <w:link w:val="a5"/>
    <w:rsid w:val="00A3517D"/>
    <w:rPr>
      <w:rFonts w:asciiTheme="majorHAnsi" w:eastAsiaTheme="majorEastAsia" w:hAnsiTheme="majorHAnsi" w:cstheme="majorBidi"/>
      <w:sz w:val="18"/>
      <w:szCs w:val="18"/>
    </w:rPr>
  </w:style>
  <w:style w:type="character" w:customStyle="1" w:styleId="a5">
    <w:name w:val="註解方塊文字 字元"/>
    <w:basedOn w:val="a0"/>
    <w:link w:val="a4"/>
    <w:rsid w:val="00A3517D"/>
    <w:rPr>
      <w:rFonts w:asciiTheme="majorHAnsi" w:eastAsiaTheme="majorEastAsia" w:hAnsiTheme="majorHAnsi" w:cstheme="majorBidi"/>
      <w:kern w:val="2"/>
      <w:sz w:val="18"/>
      <w:szCs w:val="18"/>
    </w:rPr>
  </w:style>
  <w:style w:type="paragraph" w:styleId="a6">
    <w:name w:val="header"/>
    <w:basedOn w:val="a"/>
    <w:link w:val="a7"/>
    <w:rsid w:val="00A3517D"/>
    <w:pPr>
      <w:tabs>
        <w:tab w:val="center" w:pos="4153"/>
        <w:tab w:val="right" w:pos="8306"/>
      </w:tabs>
      <w:snapToGrid w:val="0"/>
    </w:pPr>
    <w:rPr>
      <w:sz w:val="20"/>
      <w:szCs w:val="20"/>
    </w:rPr>
  </w:style>
  <w:style w:type="character" w:customStyle="1" w:styleId="a7">
    <w:name w:val="頁首 字元"/>
    <w:basedOn w:val="a0"/>
    <w:link w:val="a6"/>
    <w:rsid w:val="00A3517D"/>
    <w:rPr>
      <w:kern w:val="2"/>
    </w:rPr>
  </w:style>
  <w:style w:type="paragraph" w:styleId="a8">
    <w:name w:val="footer"/>
    <w:basedOn w:val="a"/>
    <w:link w:val="a9"/>
    <w:uiPriority w:val="99"/>
    <w:rsid w:val="00A3517D"/>
    <w:pPr>
      <w:tabs>
        <w:tab w:val="center" w:pos="4153"/>
        <w:tab w:val="right" w:pos="8306"/>
      </w:tabs>
      <w:snapToGrid w:val="0"/>
    </w:pPr>
    <w:rPr>
      <w:sz w:val="20"/>
      <w:szCs w:val="20"/>
    </w:rPr>
  </w:style>
  <w:style w:type="character" w:customStyle="1" w:styleId="a9">
    <w:name w:val="頁尾 字元"/>
    <w:basedOn w:val="a0"/>
    <w:link w:val="a8"/>
    <w:uiPriority w:val="99"/>
    <w:rsid w:val="00A3517D"/>
    <w:rPr>
      <w:kern w:val="2"/>
    </w:rPr>
  </w:style>
  <w:style w:type="paragraph" w:styleId="aa">
    <w:name w:val="footnote text"/>
    <w:aliases w:val="註腳文字 字元 字元,字元 字元 字元,字元 字元,fn,footnote text,footnote text 字元,註腳文字 字元2 字元,註腳文字1 字元1 字元 字元2,註腳文字 字元1 字元 字元 字元2,字元 字元1 字元 字元 字元2,fn 字元1 字元 字元 字元2,footnote text 字元1 字元 字元 字元2,fn1 字元 字元 字元2,fn 字元 字元1,註腳文字 字元2,註腳文字 字元1 字元 字元,註腳文字 字元2 字元 字元1,ftx"/>
    <w:basedOn w:val="a"/>
    <w:link w:val="ab"/>
    <w:uiPriority w:val="99"/>
    <w:rsid w:val="00817675"/>
    <w:pPr>
      <w:snapToGrid w:val="0"/>
    </w:pPr>
    <w:rPr>
      <w:sz w:val="20"/>
      <w:szCs w:val="20"/>
    </w:rPr>
  </w:style>
  <w:style w:type="character" w:customStyle="1" w:styleId="ab">
    <w:name w:val="註腳文字 字元"/>
    <w:aliases w:val="註腳文字 字元 字元 字元,字元 字元 字元 字元,字元 字元 字元1,fn 字元,footnote text 字元1,footnote text 字元 字元,註腳文字 字元2 字元 字元,註腳文字1 字元1 字元 字元2 字元,註腳文字 字元1 字元 字元 字元2 字元,字元 字元1 字元 字元 字元2 字元,fn 字元1 字元 字元 字元2 字元,footnote text 字元1 字元 字元 字元2 字元,fn1 字元 字元 字元2 字元,fn 字元 字元1 字元,ftx 字元"/>
    <w:basedOn w:val="a0"/>
    <w:link w:val="aa"/>
    <w:uiPriority w:val="99"/>
    <w:rsid w:val="00817675"/>
    <w:rPr>
      <w:kern w:val="2"/>
    </w:rPr>
  </w:style>
  <w:style w:type="character" w:styleId="ac">
    <w:name w:val="footnote reference"/>
    <w:aliases w:val="Ref,de nota al pie,FR,註腳內容"/>
    <w:uiPriority w:val="99"/>
    <w:rsid w:val="00817675"/>
    <w:rPr>
      <w:vertAlign w:val="superscript"/>
    </w:rPr>
  </w:style>
  <w:style w:type="paragraph" w:customStyle="1" w:styleId="txt">
    <w:name w:val="txt 註腳"/>
    <w:basedOn w:val="a"/>
    <w:qFormat/>
    <w:rsid w:val="00817675"/>
    <w:pPr>
      <w:snapToGrid w:val="0"/>
      <w:ind w:hangingChars="150" w:hanging="221"/>
    </w:pPr>
    <w:rPr>
      <w:rFonts w:eastAsia="標楷體"/>
      <w:sz w:val="20"/>
      <w:szCs w:val="20"/>
    </w:rPr>
  </w:style>
  <w:style w:type="character" w:styleId="ad">
    <w:name w:val="Hyperlink"/>
    <w:rsid w:val="003041AC"/>
    <w:rPr>
      <w:color w:val="808080"/>
      <w:u w:val="single"/>
    </w:rPr>
  </w:style>
  <w:style w:type="paragraph" w:styleId="ae">
    <w:name w:val="List Paragraph"/>
    <w:basedOn w:val="a"/>
    <w:uiPriority w:val="34"/>
    <w:qFormat/>
    <w:rsid w:val="00211906"/>
    <w:pPr>
      <w:ind w:leftChars="200" w:left="48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footer" w:uiPriority="99"/>
    <w:lsdException w:name="caption" w:semiHidden="1" w:unhideWhenUsed="1" w:qFormat="1"/>
    <w:lsdException w:name="footnote reference" w:uiPriority="99"/>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widowControl w:val="0"/>
    </w:pPr>
    <w:rPr>
      <w:kern w:val="2"/>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文章內文"/>
    <w:basedOn w:val="Web"/>
    <w:rsid w:val="00A3517D"/>
    <w:pPr>
      <w:widowControl/>
      <w:tabs>
        <w:tab w:val="left" w:pos="7876"/>
      </w:tabs>
      <w:spacing w:beforeLines="50" w:afterLines="50" w:line="360" w:lineRule="exact"/>
      <w:ind w:leftChars="1022" w:left="2453"/>
      <w:jc w:val="both"/>
    </w:pPr>
    <w:rPr>
      <w:rFonts w:ascii="Book Antiqua" w:hAnsi="Book Antiqua"/>
      <w:kern w:val="0"/>
      <w:sz w:val="22"/>
    </w:rPr>
  </w:style>
  <w:style w:type="paragraph" w:styleId="Web">
    <w:name w:val="Normal (Web)"/>
    <w:basedOn w:val="a"/>
    <w:rsid w:val="00A3517D"/>
  </w:style>
  <w:style w:type="paragraph" w:styleId="a4">
    <w:name w:val="Balloon Text"/>
    <w:basedOn w:val="a"/>
    <w:link w:val="a5"/>
    <w:rsid w:val="00A3517D"/>
    <w:rPr>
      <w:rFonts w:asciiTheme="majorHAnsi" w:eastAsiaTheme="majorEastAsia" w:hAnsiTheme="majorHAnsi" w:cstheme="majorBidi"/>
      <w:sz w:val="18"/>
      <w:szCs w:val="18"/>
    </w:rPr>
  </w:style>
  <w:style w:type="character" w:customStyle="1" w:styleId="a5">
    <w:name w:val="註解方塊文字 字元"/>
    <w:basedOn w:val="a0"/>
    <w:link w:val="a4"/>
    <w:rsid w:val="00A3517D"/>
    <w:rPr>
      <w:rFonts w:asciiTheme="majorHAnsi" w:eastAsiaTheme="majorEastAsia" w:hAnsiTheme="majorHAnsi" w:cstheme="majorBidi"/>
      <w:kern w:val="2"/>
      <w:sz w:val="18"/>
      <w:szCs w:val="18"/>
    </w:rPr>
  </w:style>
  <w:style w:type="paragraph" w:styleId="a6">
    <w:name w:val="header"/>
    <w:basedOn w:val="a"/>
    <w:link w:val="a7"/>
    <w:rsid w:val="00A3517D"/>
    <w:pPr>
      <w:tabs>
        <w:tab w:val="center" w:pos="4153"/>
        <w:tab w:val="right" w:pos="8306"/>
      </w:tabs>
      <w:snapToGrid w:val="0"/>
    </w:pPr>
    <w:rPr>
      <w:sz w:val="20"/>
      <w:szCs w:val="20"/>
    </w:rPr>
  </w:style>
  <w:style w:type="character" w:customStyle="1" w:styleId="a7">
    <w:name w:val="頁首 字元"/>
    <w:basedOn w:val="a0"/>
    <w:link w:val="a6"/>
    <w:rsid w:val="00A3517D"/>
    <w:rPr>
      <w:kern w:val="2"/>
    </w:rPr>
  </w:style>
  <w:style w:type="paragraph" w:styleId="a8">
    <w:name w:val="footer"/>
    <w:basedOn w:val="a"/>
    <w:link w:val="a9"/>
    <w:uiPriority w:val="99"/>
    <w:rsid w:val="00A3517D"/>
    <w:pPr>
      <w:tabs>
        <w:tab w:val="center" w:pos="4153"/>
        <w:tab w:val="right" w:pos="8306"/>
      </w:tabs>
      <w:snapToGrid w:val="0"/>
    </w:pPr>
    <w:rPr>
      <w:sz w:val="20"/>
      <w:szCs w:val="20"/>
    </w:rPr>
  </w:style>
  <w:style w:type="character" w:customStyle="1" w:styleId="a9">
    <w:name w:val="頁尾 字元"/>
    <w:basedOn w:val="a0"/>
    <w:link w:val="a8"/>
    <w:uiPriority w:val="99"/>
    <w:rsid w:val="00A3517D"/>
    <w:rPr>
      <w:kern w:val="2"/>
    </w:rPr>
  </w:style>
  <w:style w:type="paragraph" w:styleId="aa">
    <w:name w:val="footnote text"/>
    <w:aliases w:val="註腳文字 字元 字元,字元 字元 字元,字元 字元,fn,footnote text,footnote text 字元,註腳文字 字元2 字元,註腳文字1 字元1 字元 字元2,註腳文字 字元1 字元 字元 字元2,字元 字元1 字元 字元 字元2,fn 字元1 字元 字元 字元2,footnote text 字元1 字元 字元 字元2,fn1 字元 字元 字元2,fn 字元 字元1,註腳文字 字元2,註腳文字 字元1 字元 字元,註腳文字 字元2 字元 字元1,ftx"/>
    <w:basedOn w:val="a"/>
    <w:link w:val="ab"/>
    <w:uiPriority w:val="99"/>
    <w:rsid w:val="00817675"/>
    <w:pPr>
      <w:snapToGrid w:val="0"/>
    </w:pPr>
    <w:rPr>
      <w:sz w:val="20"/>
      <w:szCs w:val="20"/>
    </w:rPr>
  </w:style>
  <w:style w:type="character" w:customStyle="1" w:styleId="ab">
    <w:name w:val="註腳文字 字元"/>
    <w:aliases w:val="註腳文字 字元 字元 字元,字元 字元 字元 字元,字元 字元 字元1,fn 字元,footnote text 字元1,footnote text 字元 字元,註腳文字 字元2 字元 字元,註腳文字1 字元1 字元 字元2 字元,註腳文字 字元1 字元 字元 字元2 字元,字元 字元1 字元 字元 字元2 字元,fn 字元1 字元 字元 字元2 字元,footnote text 字元1 字元 字元 字元2 字元,fn1 字元 字元 字元2 字元,fn 字元 字元1 字元,ftx 字元"/>
    <w:basedOn w:val="a0"/>
    <w:link w:val="aa"/>
    <w:uiPriority w:val="99"/>
    <w:rsid w:val="00817675"/>
    <w:rPr>
      <w:kern w:val="2"/>
    </w:rPr>
  </w:style>
  <w:style w:type="character" w:styleId="ac">
    <w:name w:val="footnote reference"/>
    <w:aliases w:val="Ref,de nota al pie,FR,註腳內容"/>
    <w:uiPriority w:val="99"/>
    <w:rsid w:val="00817675"/>
    <w:rPr>
      <w:vertAlign w:val="superscript"/>
    </w:rPr>
  </w:style>
  <w:style w:type="paragraph" w:customStyle="1" w:styleId="txt">
    <w:name w:val="txt 註腳"/>
    <w:basedOn w:val="a"/>
    <w:qFormat/>
    <w:rsid w:val="00817675"/>
    <w:pPr>
      <w:snapToGrid w:val="0"/>
      <w:ind w:hangingChars="150" w:hanging="221"/>
    </w:pPr>
    <w:rPr>
      <w:rFonts w:eastAsia="標楷體"/>
      <w:sz w:val="20"/>
      <w:szCs w:val="20"/>
    </w:rPr>
  </w:style>
  <w:style w:type="character" w:styleId="ad">
    <w:name w:val="Hyperlink"/>
    <w:rsid w:val="003041AC"/>
    <w:rPr>
      <w:color w:val="808080"/>
      <w:u w:val="single"/>
    </w:rPr>
  </w:style>
  <w:style w:type="paragraph" w:styleId="ae">
    <w:name w:val="List Paragraph"/>
    <w:basedOn w:val="a"/>
    <w:uiPriority w:val="34"/>
    <w:qFormat/>
    <w:rsid w:val="00211906"/>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1417186">
      <w:bodyDiv w:val="1"/>
      <w:marLeft w:val="0"/>
      <w:marRight w:val="0"/>
      <w:marTop w:val="0"/>
      <w:marBottom w:val="0"/>
      <w:divBdr>
        <w:top w:val="none" w:sz="0" w:space="0" w:color="auto"/>
        <w:left w:val="none" w:sz="0" w:space="0" w:color="auto"/>
        <w:bottom w:val="none" w:sz="0" w:space="0" w:color="auto"/>
        <w:right w:val="none" w:sz="0" w:space="0" w:color="auto"/>
      </w:divBdr>
    </w:div>
    <w:div w:id="372342384">
      <w:bodyDiv w:val="1"/>
      <w:marLeft w:val="0"/>
      <w:marRight w:val="0"/>
      <w:marTop w:val="0"/>
      <w:marBottom w:val="0"/>
      <w:divBdr>
        <w:top w:val="none" w:sz="0" w:space="0" w:color="auto"/>
        <w:left w:val="none" w:sz="0" w:space="0" w:color="auto"/>
        <w:bottom w:val="none" w:sz="0" w:space="0" w:color="auto"/>
        <w:right w:val="none" w:sz="0" w:space="0" w:color="auto"/>
      </w:divBdr>
    </w:div>
    <w:div w:id="628584811">
      <w:bodyDiv w:val="1"/>
      <w:marLeft w:val="0"/>
      <w:marRight w:val="0"/>
      <w:marTop w:val="0"/>
      <w:marBottom w:val="0"/>
      <w:divBdr>
        <w:top w:val="none" w:sz="0" w:space="0" w:color="auto"/>
        <w:left w:val="none" w:sz="0" w:space="0" w:color="auto"/>
        <w:bottom w:val="none" w:sz="0" w:space="0" w:color="auto"/>
        <w:right w:val="none" w:sz="0" w:space="0" w:color="auto"/>
      </w:divBdr>
    </w:div>
    <w:div w:id="17371238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1.png"/></Relationships>
</file>

<file path=word/charts/_rels/chart1.xml.rels><?xml version="1.0" encoding="UTF-8" standalone="yes"?>
<Relationships xmlns="http://schemas.openxmlformats.org/package/2006/relationships"><Relationship Id="rId2" Type="http://schemas.openxmlformats.org/officeDocument/2006/relationships/oleObject" Target="file:///C:\Users\PC434B\Desktop\MIC102plan20121002\DATA\TW_IT_TREND20130131.xlsx" TargetMode="External"/><Relationship Id="rId1" Type="http://schemas.openxmlformats.org/officeDocument/2006/relationships/themeOverride" Target="../theme/themeOverride1.xm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zh-TW"/>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5400000" vert="horz"/>
          <a:lstStyle/>
          <a:p>
            <a:pPr>
              <a:defRPr/>
            </a:pPr>
            <a:r>
              <a:rPr lang="zh-TW"/>
              <a:t>世界</a:t>
            </a:r>
            <a:r>
              <a:rPr lang="en-US"/>
              <a:t>:</a:t>
            </a:r>
            <a:r>
              <a:rPr lang="zh-TW"/>
              <a:t>金額</a:t>
            </a:r>
            <a:r>
              <a:rPr lang="en-US"/>
              <a:t>(</a:t>
            </a:r>
            <a:r>
              <a:rPr lang="zh-TW"/>
              <a:t>億美元</a:t>
            </a:r>
            <a:r>
              <a:rPr lang="en-US"/>
              <a:t>)</a:t>
            </a:r>
            <a:endParaRPr lang="zh-TW"/>
          </a:p>
        </c:rich>
      </c:tx>
      <c:layout>
        <c:manualLayout>
          <c:xMode val="edge"/>
          <c:yMode val="edge"/>
          <c:x val="9.8843312567002781E-2"/>
          <c:y val="0.37243103747294193"/>
        </c:manualLayout>
      </c:layout>
      <c:overlay val="0"/>
    </c:title>
    <c:autoTitleDeleted val="0"/>
    <c:plotArea>
      <c:layout>
        <c:manualLayout>
          <c:layoutTarget val="inner"/>
          <c:xMode val="edge"/>
          <c:yMode val="edge"/>
          <c:x val="0.24666736643224521"/>
          <c:y val="8.8534168535552279E-2"/>
          <c:w val="0.5941899124055402"/>
          <c:h val="0.64137885990057697"/>
        </c:manualLayout>
      </c:layout>
      <c:barChart>
        <c:barDir val="col"/>
        <c:grouping val="clustered"/>
        <c:varyColors val="0"/>
        <c:ser>
          <c:idx val="2"/>
          <c:order val="0"/>
          <c:tx>
            <c:strRef>
              <c:f>工作表1!$C$1</c:f>
              <c:strCache>
                <c:ptCount val="1"/>
                <c:pt idx="0">
                  <c:v>TW_IMPORT</c:v>
                </c:pt>
              </c:strCache>
            </c:strRef>
          </c:tx>
          <c:invertIfNegative val="0"/>
          <c:cat>
            <c:numRef>
              <c:f>工作表1!$A$2:$A$18</c:f>
              <c:numCache>
                <c:formatCode>General</c:formatCode>
                <c:ptCount val="17"/>
                <c:pt idx="0">
                  <c:v>1995</c:v>
                </c:pt>
                <c:pt idx="1">
                  <c:v>1996</c:v>
                </c:pt>
                <c:pt idx="2">
                  <c:v>1997</c:v>
                </c:pt>
                <c:pt idx="3">
                  <c:v>1998</c:v>
                </c:pt>
                <c:pt idx="4">
                  <c:v>1999</c:v>
                </c:pt>
                <c:pt idx="5">
                  <c:v>2000</c:v>
                </c:pt>
                <c:pt idx="6">
                  <c:v>2001</c:v>
                </c:pt>
                <c:pt idx="7">
                  <c:v>2002</c:v>
                </c:pt>
                <c:pt idx="8">
                  <c:v>2003</c:v>
                </c:pt>
                <c:pt idx="9">
                  <c:v>2004</c:v>
                </c:pt>
                <c:pt idx="10">
                  <c:v>2005</c:v>
                </c:pt>
                <c:pt idx="11">
                  <c:v>2006</c:v>
                </c:pt>
                <c:pt idx="12">
                  <c:v>2007</c:v>
                </c:pt>
                <c:pt idx="13">
                  <c:v>2008</c:v>
                </c:pt>
                <c:pt idx="14">
                  <c:v>2009</c:v>
                </c:pt>
                <c:pt idx="15">
                  <c:v>2010</c:v>
                </c:pt>
                <c:pt idx="16">
                  <c:v>2011</c:v>
                </c:pt>
              </c:numCache>
            </c:numRef>
          </c:cat>
          <c:val>
            <c:numRef>
              <c:f>工作表1!$C$2:$C$18</c:f>
              <c:numCache>
                <c:formatCode>0.00</c:formatCode>
                <c:ptCount val="17"/>
                <c:pt idx="0">
                  <c:v>187.66000768000001</c:v>
                </c:pt>
                <c:pt idx="1">
                  <c:v>187.66883455999999</c:v>
                </c:pt>
                <c:pt idx="2">
                  <c:v>225.76410240000001</c:v>
                </c:pt>
                <c:pt idx="3">
                  <c:v>237.63526655999999</c:v>
                </c:pt>
                <c:pt idx="4">
                  <c:v>291.72653567999998</c:v>
                </c:pt>
                <c:pt idx="5">
                  <c:v>386.45752191999998</c:v>
                </c:pt>
                <c:pt idx="6">
                  <c:v>290.61450617000003</c:v>
                </c:pt>
                <c:pt idx="7">
                  <c:v>317.80746388</c:v>
                </c:pt>
                <c:pt idx="8">
                  <c:v>320.59167231999999</c:v>
                </c:pt>
                <c:pt idx="9">
                  <c:v>366.27194041000001</c:v>
                </c:pt>
                <c:pt idx="10">
                  <c:v>386.1528108</c:v>
                </c:pt>
                <c:pt idx="11">
                  <c:v>414.77292044000001</c:v>
                </c:pt>
                <c:pt idx="12">
                  <c:v>407.36562170000002</c:v>
                </c:pt>
                <c:pt idx="13">
                  <c:v>396.53905846999999</c:v>
                </c:pt>
                <c:pt idx="14">
                  <c:v>348.72075925000001</c:v>
                </c:pt>
                <c:pt idx="15">
                  <c:v>465.30971861</c:v>
                </c:pt>
                <c:pt idx="16">
                  <c:v>489.05213620000001</c:v>
                </c:pt>
              </c:numCache>
            </c:numRef>
          </c:val>
        </c:ser>
        <c:ser>
          <c:idx val="0"/>
          <c:order val="1"/>
          <c:tx>
            <c:strRef>
              <c:f>工作表1!$B$1</c:f>
              <c:strCache>
                <c:ptCount val="1"/>
                <c:pt idx="0">
                  <c:v>TW_EXPORT</c:v>
                </c:pt>
              </c:strCache>
            </c:strRef>
          </c:tx>
          <c:invertIfNegative val="0"/>
          <c:cat>
            <c:numRef>
              <c:f>工作表1!$A$2:$A$18</c:f>
              <c:numCache>
                <c:formatCode>General</c:formatCode>
                <c:ptCount val="17"/>
                <c:pt idx="0">
                  <c:v>1995</c:v>
                </c:pt>
                <c:pt idx="1">
                  <c:v>1996</c:v>
                </c:pt>
                <c:pt idx="2">
                  <c:v>1997</c:v>
                </c:pt>
                <c:pt idx="3">
                  <c:v>1998</c:v>
                </c:pt>
                <c:pt idx="4">
                  <c:v>1999</c:v>
                </c:pt>
                <c:pt idx="5">
                  <c:v>2000</c:v>
                </c:pt>
                <c:pt idx="6">
                  <c:v>2001</c:v>
                </c:pt>
                <c:pt idx="7">
                  <c:v>2002</c:v>
                </c:pt>
                <c:pt idx="8">
                  <c:v>2003</c:v>
                </c:pt>
                <c:pt idx="9">
                  <c:v>2004</c:v>
                </c:pt>
                <c:pt idx="10">
                  <c:v>2005</c:v>
                </c:pt>
                <c:pt idx="11">
                  <c:v>2006</c:v>
                </c:pt>
                <c:pt idx="12">
                  <c:v>2007</c:v>
                </c:pt>
                <c:pt idx="13">
                  <c:v>2008</c:v>
                </c:pt>
                <c:pt idx="14">
                  <c:v>2009</c:v>
                </c:pt>
                <c:pt idx="15">
                  <c:v>2010</c:v>
                </c:pt>
                <c:pt idx="16">
                  <c:v>2011</c:v>
                </c:pt>
              </c:numCache>
            </c:numRef>
          </c:cat>
          <c:val>
            <c:numRef>
              <c:f>工作表1!$B$2:$B$18</c:f>
              <c:numCache>
                <c:formatCode>0.00</c:formatCode>
                <c:ptCount val="17"/>
                <c:pt idx="0">
                  <c:v>314.85266944</c:v>
                </c:pt>
                <c:pt idx="1">
                  <c:v>345.46422272000001</c:v>
                </c:pt>
                <c:pt idx="2">
                  <c:v>387.32252671999998</c:v>
                </c:pt>
                <c:pt idx="3">
                  <c:v>374.69844991999997</c:v>
                </c:pt>
                <c:pt idx="4">
                  <c:v>435.08452352</c:v>
                </c:pt>
                <c:pt idx="5">
                  <c:v>578.20973867999999</c:v>
                </c:pt>
                <c:pt idx="6">
                  <c:v>456.30020289999999</c:v>
                </c:pt>
                <c:pt idx="7">
                  <c:v>476.77718286999999</c:v>
                </c:pt>
                <c:pt idx="8">
                  <c:v>498.41047888000003</c:v>
                </c:pt>
                <c:pt idx="9">
                  <c:v>565.29211988999998</c:v>
                </c:pt>
                <c:pt idx="10">
                  <c:v>565.79824603999998</c:v>
                </c:pt>
                <c:pt idx="11">
                  <c:v>710.34881657000005</c:v>
                </c:pt>
                <c:pt idx="12">
                  <c:v>720.25428746</c:v>
                </c:pt>
                <c:pt idx="13">
                  <c:v>699.7571107</c:v>
                </c:pt>
                <c:pt idx="14">
                  <c:v>618.07617017999996</c:v>
                </c:pt>
                <c:pt idx="15">
                  <c:v>868.92966597999998</c:v>
                </c:pt>
                <c:pt idx="16">
                  <c:v>964.41076514999997</c:v>
                </c:pt>
              </c:numCache>
            </c:numRef>
          </c:val>
        </c:ser>
        <c:dLbls>
          <c:showLegendKey val="0"/>
          <c:showVal val="0"/>
          <c:showCatName val="0"/>
          <c:showSerName val="0"/>
          <c:showPercent val="0"/>
          <c:showBubbleSize val="0"/>
        </c:dLbls>
        <c:gapWidth val="150"/>
        <c:axId val="140123520"/>
        <c:axId val="140121984"/>
      </c:barChart>
      <c:lineChart>
        <c:grouping val="standard"/>
        <c:varyColors val="0"/>
        <c:ser>
          <c:idx val="4"/>
          <c:order val="3"/>
          <c:tx>
            <c:strRef>
              <c:f>工作表1!$G$1</c:f>
              <c:strCache>
                <c:ptCount val="1"/>
                <c:pt idx="0">
                  <c:v>WORLD_EX+IM</c:v>
                </c:pt>
              </c:strCache>
            </c:strRef>
          </c:tx>
          <c:spPr>
            <a:ln cmpd="thinThick">
              <a:prstDash val="sysDash"/>
            </a:ln>
          </c:spPr>
          <c:marker>
            <c:symbol val="none"/>
          </c:marker>
          <c:cat>
            <c:numRef>
              <c:f>工作表1!$A$2:$A$18</c:f>
              <c:numCache>
                <c:formatCode>General</c:formatCode>
                <c:ptCount val="17"/>
                <c:pt idx="0">
                  <c:v>1995</c:v>
                </c:pt>
                <c:pt idx="1">
                  <c:v>1996</c:v>
                </c:pt>
                <c:pt idx="2">
                  <c:v>1997</c:v>
                </c:pt>
                <c:pt idx="3">
                  <c:v>1998</c:v>
                </c:pt>
                <c:pt idx="4">
                  <c:v>1999</c:v>
                </c:pt>
                <c:pt idx="5">
                  <c:v>2000</c:v>
                </c:pt>
                <c:pt idx="6">
                  <c:v>2001</c:v>
                </c:pt>
                <c:pt idx="7">
                  <c:v>2002</c:v>
                </c:pt>
                <c:pt idx="8">
                  <c:v>2003</c:v>
                </c:pt>
                <c:pt idx="9">
                  <c:v>2004</c:v>
                </c:pt>
                <c:pt idx="10">
                  <c:v>2005</c:v>
                </c:pt>
                <c:pt idx="11">
                  <c:v>2006</c:v>
                </c:pt>
                <c:pt idx="12">
                  <c:v>2007</c:v>
                </c:pt>
                <c:pt idx="13">
                  <c:v>2008</c:v>
                </c:pt>
                <c:pt idx="14">
                  <c:v>2009</c:v>
                </c:pt>
                <c:pt idx="15">
                  <c:v>2010</c:v>
                </c:pt>
                <c:pt idx="16">
                  <c:v>2011</c:v>
                </c:pt>
              </c:numCache>
            </c:numRef>
          </c:cat>
          <c:val>
            <c:numRef>
              <c:f>工作表1!$G$2:$G$18</c:f>
              <c:numCache>
                <c:formatCode>General</c:formatCode>
                <c:ptCount val="17"/>
                <c:pt idx="0">
                  <c:v>12115.61</c:v>
                </c:pt>
                <c:pt idx="1">
                  <c:v>12748.14</c:v>
                </c:pt>
                <c:pt idx="2">
                  <c:v>13975.86</c:v>
                </c:pt>
                <c:pt idx="3">
                  <c:v>14174.83</c:v>
                </c:pt>
                <c:pt idx="4">
                  <c:v>15857.33</c:v>
                </c:pt>
                <c:pt idx="5">
                  <c:v>19810.132446439999</c:v>
                </c:pt>
                <c:pt idx="6">
                  <c:v>17218.733457400001</c:v>
                </c:pt>
                <c:pt idx="7">
                  <c:v>17443.620046669999</c:v>
                </c:pt>
                <c:pt idx="8">
                  <c:v>19545.221051019998</c:v>
                </c:pt>
                <c:pt idx="9">
                  <c:v>23650.38284771</c:v>
                </c:pt>
                <c:pt idx="10">
                  <c:v>26359.006768300002</c:v>
                </c:pt>
                <c:pt idx="11">
                  <c:v>30091.990968149999</c:v>
                </c:pt>
                <c:pt idx="12">
                  <c:v>31368.037627329999</c:v>
                </c:pt>
                <c:pt idx="13">
                  <c:v>32215.761942590001</c:v>
                </c:pt>
                <c:pt idx="14">
                  <c:v>27454.425285059999</c:v>
                </c:pt>
                <c:pt idx="15">
                  <c:v>33821.789317399998</c:v>
                </c:pt>
                <c:pt idx="16">
                  <c:v>35184.966266689997</c:v>
                </c:pt>
              </c:numCache>
            </c:numRef>
          </c:val>
          <c:smooth val="0"/>
        </c:ser>
        <c:dLbls>
          <c:showLegendKey val="0"/>
          <c:showVal val="0"/>
          <c:showCatName val="0"/>
          <c:showSerName val="0"/>
          <c:showPercent val="0"/>
          <c:showBubbleSize val="0"/>
        </c:dLbls>
        <c:marker val="1"/>
        <c:smooth val="0"/>
        <c:axId val="139588736"/>
        <c:axId val="140120064"/>
      </c:lineChart>
      <c:lineChart>
        <c:grouping val="standard"/>
        <c:varyColors val="0"/>
        <c:ser>
          <c:idx val="1"/>
          <c:order val="2"/>
          <c:tx>
            <c:strRef>
              <c:f>工作表1!$D$1</c:f>
              <c:strCache>
                <c:ptCount val="1"/>
                <c:pt idx="0">
                  <c:v>TW_EX+IM</c:v>
                </c:pt>
              </c:strCache>
            </c:strRef>
          </c:tx>
          <c:marker>
            <c:symbol val="none"/>
          </c:marker>
          <c:cat>
            <c:numRef>
              <c:f>工作表1!$A$2:$A$18</c:f>
              <c:numCache>
                <c:formatCode>General</c:formatCode>
                <c:ptCount val="17"/>
                <c:pt idx="0">
                  <c:v>1995</c:v>
                </c:pt>
                <c:pt idx="1">
                  <c:v>1996</c:v>
                </c:pt>
                <c:pt idx="2">
                  <c:v>1997</c:v>
                </c:pt>
                <c:pt idx="3">
                  <c:v>1998</c:v>
                </c:pt>
                <c:pt idx="4">
                  <c:v>1999</c:v>
                </c:pt>
                <c:pt idx="5">
                  <c:v>2000</c:v>
                </c:pt>
                <c:pt idx="6">
                  <c:v>2001</c:v>
                </c:pt>
                <c:pt idx="7">
                  <c:v>2002</c:v>
                </c:pt>
                <c:pt idx="8">
                  <c:v>2003</c:v>
                </c:pt>
                <c:pt idx="9">
                  <c:v>2004</c:v>
                </c:pt>
                <c:pt idx="10">
                  <c:v>2005</c:v>
                </c:pt>
                <c:pt idx="11">
                  <c:v>2006</c:v>
                </c:pt>
                <c:pt idx="12">
                  <c:v>2007</c:v>
                </c:pt>
                <c:pt idx="13">
                  <c:v>2008</c:v>
                </c:pt>
                <c:pt idx="14">
                  <c:v>2009</c:v>
                </c:pt>
                <c:pt idx="15">
                  <c:v>2010</c:v>
                </c:pt>
                <c:pt idx="16">
                  <c:v>2011</c:v>
                </c:pt>
              </c:numCache>
            </c:numRef>
          </c:cat>
          <c:val>
            <c:numRef>
              <c:f>工作表1!$D$2:$D$18</c:f>
              <c:numCache>
                <c:formatCode>0.00</c:formatCode>
                <c:ptCount val="17"/>
                <c:pt idx="0">
                  <c:v>502.51267711999998</c:v>
                </c:pt>
                <c:pt idx="1">
                  <c:v>533.13305728</c:v>
                </c:pt>
                <c:pt idx="2">
                  <c:v>613.08662912</c:v>
                </c:pt>
                <c:pt idx="3">
                  <c:v>612.33371648000002</c:v>
                </c:pt>
                <c:pt idx="4">
                  <c:v>726.81105920000005</c:v>
                </c:pt>
                <c:pt idx="5">
                  <c:v>964.66726059999996</c:v>
                </c:pt>
                <c:pt idx="6">
                  <c:v>746.91470906999996</c:v>
                </c:pt>
                <c:pt idx="7">
                  <c:v>794.58464675000005</c:v>
                </c:pt>
                <c:pt idx="8">
                  <c:v>819.00215119999996</c:v>
                </c:pt>
                <c:pt idx="9">
                  <c:v>931.56406030000005</c:v>
                </c:pt>
                <c:pt idx="10">
                  <c:v>951.95105683999998</c:v>
                </c:pt>
                <c:pt idx="11">
                  <c:v>1125.1217370100001</c:v>
                </c:pt>
                <c:pt idx="12">
                  <c:v>1127.6199091599999</c:v>
                </c:pt>
                <c:pt idx="13">
                  <c:v>1096.29616917</c:v>
                </c:pt>
                <c:pt idx="14">
                  <c:v>966.79692942999998</c:v>
                </c:pt>
                <c:pt idx="15">
                  <c:v>1334.2393845900001</c:v>
                </c:pt>
                <c:pt idx="16">
                  <c:v>1453.46290135</c:v>
                </c:pt>
              </c:numCache>
            </c:numRef>
          </c:val>
          <c:smooth val="0"/>
        </c:ser>
        <c:dLbls>
          <c:showLegendKey val="0"/>
          <c:showVal val="0"/>
          <c:showCatName val="0"/>
          <c:showSerName val="0"/>
          <c:showPercent val="0"/>
          <c:showBubbleSize val="0"/>
        </c:dLbls>
        <c:marker val="1"/>
        <c:smooth val="0"/>
        <c:axId val="140123520"/>
        <c:axId val="140121984"/>
      </c:lineChart>
      <c:catAx>
        <c:axId val="139588736"/>
        <c:scaling>
          <c:orientation val="minMax"/>
        </c:scaling>
        <c:delete val="0"/>
        <c:axPos val="b"/>
        <c:numFmt formatCode="General" sourceLinked="1"/>
        <c:majorTickMark val="none"/>
        <c:minorTickMark val="none"/>
        <c:tickLblPos val="nextTo"/>
        <c:crossAx val="140120064"/>
        <c:crosses val="autoZero"/>
        <c:auto val="1"/>
        <c:lblAlgn val="ctr"/>
        <c:lblOffset val="100"/>
        <c:noMultiLvlLbl val="0"/>
      </c:catAx>
      <c:valAx>
        <c:axId val="140120064"/>
        <c:scaling>
          <c:orientation val="minMax"/>
        </c:scaling>
        <c:delete val="0"/>
        <c:axPos val="l"/>
        <c:majorGridlines/>
        <c:title>
          <c:tx>
            <c:rich>
              <a:bodyPr rot="-5400000" vert="horz"/>
              <a:lstStyle/>
              <a:p>
                <a:pPr>
                  <a:defRPr/>
                </a:pPr>
                <a:r>
                  <a:rPr lang="zh-TW"/>
                  <a:t>台灣</a:t>
                </a:r>
                <a:r>
                  <a:rPr lang="en-US"/>
                  <a:t>:</a:t>
                </a:r>
                <a:r>
                  <a:rPr lang="zh-TW"/>
                  <a:t>金額</a:t>
                </a:r>
                <a:r>
                  <a:rPr lang="en-US"/>
                  <a:t>(</a:t>
                </a:r>
                <a:r>
                  <a:rPr lang="zh-TW"/>
                  <a:t>億美元</a:t>
                </a:r>
                <a:r>
                  <a:rPr lang="en-US"/>
                  <a:t>)</a:t>
                </a:r>
              </a:p>
            </c:rich>
          </c:tx>
          <c:layout>
            <c:manualLayout>
              <c:xMode val="edge"/>
              <c:yMode val="edge"/>
              <c:x val="0.9547681231165972"/>
              <c:y val="0.36560182303192862"/>
            </c:manualLayout>
          </c:layout>
          <c:overlay val="0"/>
        </c:title>
        <c:numFmt formatCode="General" sourceLinked="1"/>
        <c:majorTickMark val="none"/>
        <c:minorTickMark val="none"/>
        <c:tickLblPos val="nextTo"/>
        <c:crossAx val="139588736"/>
        <c:crosses val="autoZero"/>
        <c:crossBetween val="between"/>
      </c:valAx>
      <c:valAx>
        <c:axId val="140121984"/>
        <c:scaling>
          <c:orientation val="minMax"/>
          <c:max val="5000"/>
        </c:scaling>
        <c:delete val="0"/>
        <c:axPos val="r"/>
        <c:numFmt formatCode="0.00" sourceLinked="1"/>
        <c:majorTickMark val="out"/>
        <c:minorTickMark val="none"/>
        <c:tickLblPos val="nextTo"/>
        <c:crossAx val="140123520"/>
        <c:crosses val="max"/>
        <c:crossBetween val="between"/>
      </c:valAx>
      <c:catAx>
        <c:axId val="140123520"/>
        <c:scaling>
          <c:orientation val="minMax"/>
        </c:scaling>
        <c:delete val="1"/>
        <c:axPos val="b"/>
        <c:numFmt formatCode="General" sourceLinked="1"/>
        <c:majorTickMark val="out"/>
        <c:minorTickMark val="none"/>
        <c:tickLblPos val="nextTo"/>
        <c:crossAx val="140121984"/>
        <c:crosses val="autoZero"/>
        <c:auto val="1"/>
        <c:lblAlgn val="ctr"/>
        <c:lblOffset val="100"/>
        <c:noMultiLvlLbl val="0"/>
      </c:catAx>
      <c:dTable>
        <c:showHorzBorder val="1"/>
        <c:showVertBorder val="1"/>
        <c:showOutline val="1"/>
        <c:showKeys val="1"/>
        <c:txPr>
          <a:bodyPr/>
          <a:lstStyle/>
          <a:p>
            <a:pPr rtl="0">
              <a:defRPr sz="800"/>
            </a:pPr>
            <a:endParaRPr lang="zh-TW"/>
          </a:p>
        </c:txPr>
      </c:dTable>
    </c:plotArea>
    <c:plotVisOnly val="1"/>
    <c:dispBlanksAs val="gap"/>
    <c:showDLblsOverMax val="0"/>
  </c:chart>
  <c:txPr>
    <a:bodyPr/>
    <a:lstStyle/>
    <a:p>
      <a:pPr>
        <a:defRPr sz="800" b="0">
          <a:latin typeface="標楷體" pitchFamily="65" charset="-120"/>
          <a:ea typeface="標楷體" pitchFamily="65" charset="-120"/>
        </a:defRPr>
      </a:pPr>
      <a:endParaRPr lang="zh-TW"/>
    </a:p>
  </c:txPr>
  <c:externalData r:id="rId2">
    <c:autoUpdate val="0"/>
  </c:externalData>
</c:chartSpace>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docProps/app.xml><?xml version="1.0" encoding="utf-8"?>
<Properties xmlns="http://schemas.openxmlformats.org/officeDocument/2006/extended-properties" xmlns:vt="http://schemas.openxmlformats.org/officeDocument/2006/docPropsVTypes">
  <Template>Normal.dotm</Template>
  <TotalTime>36</TotalTime>
  <Pages>1</Pages>
  <Words>441</Words>
  <Characters>2514</Characters>
  <Application>Microsoft Office Word</Application>
  <DocSecurity>0</DocSecurity>
  <Lines>20</Lines>
  <Paragraphs>5</Paragraphs>
  <ScaleCrop>false</ScaleCrop>
  <Company>MOEA</Company>
  <LinksUpToDate>false</LinksUpToDate>
  <CharactersWithSpaces>2950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許莉美</dc:creator>
  <cp:lastModifiedBy>許莉美</cp:lastModifiedBy>
  <cp:revision>15</cp:revision>
  <cp:lastPrinted>2013-03-08T11:39:00Z</cp:lastPrinted>
  <dcterms:created xsi:type="dcterms:W3CDTF">2013-03-08T11:03:00Z</dcterms:created>
  <dcterms:modified xsi:type="dcterms:W3CDTF">2013-03-08T11:39:00Z</dcterms:modified>
</cp:coreProperties>
</file>