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29C6" w:rsidRPr="005250DA" w:rsidRDefault="0012686D" w:rsidP="00251776">
      <w:pPr>
        <w:pStyle w:val="af6"/>
        <w:numPr>
          <w:ilvl w:val="0"/>
          <w:numId w:val="6"/>
        </w:numPr>
        <w:wordWrap/>
        <w:spacing w:beforeLines="100" w:before="360" w:after="100" w:afterAutospacing="1" w:line="360" w:lineRule="auto"/>
        <w:rPr>
          <w:b/>
          <w:sz w:val="34"/>
          <w:szCs w:val="34"/>
        </w:rPr>
      </w:pPr>
      <w:r>
        <w:rPr>
          <w:rFonts w:hint="eastAsia"/>
          <w:b/>
          <w:sz w:val="34"/>
          <w:szCs w:val="34"/>
        </w:rPr>
        <w:t>本案背景說明</w:t>
      </w:r>
    </w:p>
    <w:p w:rsidR="00E3054F" w:rsidRDefault="00490A57" w:rsidP="00490A57">
      <w:pPr>
        <w:pStyle w:val="af6"/>
        <w:wordWrap/>
        <w:spacing w:before="100" w:beforeAutospacing="1" w:after="100" w:afterAutospacing="1" w:line="360" w:lineRule="auto"/>
        <w:ind w:firstLineChars="200" w:firstLine="680"/>
        <w:rPr>
          <w:sz w:val="34"/>
          <w:szCs w:val="36"/>
        </w:rPr>
      </w:pPr>
      <w:r w:rsidRPr="00490A57">
        <w:rPr>
          <w:rFonts w:hint="eastAsia"/>
          <w:sz w:val="34"/>
          <w:szCs w:val="36"/>
        </w:rPr>
        <w:t>貿易便捷化協定（</w:t>
      </w:r>
      <w:r w:rsidR="00C832AC">
        <w:rPr>
          <w:rFonts w:hint="eastAsia"/>
          <w:sz w:val="34"/>
          <w:szCs w:val="36"/>
        </w:rPr>
        <w:t>Agreement on</w:t>
      </w:r>
      <w:bookmarkStart w:id="0" w:name="_GoBack"/>
      <w:bookmarkEnd w:id="0"/>
      <w:r w:rsidRPr="00490A57">
        <w:rPr>
          <w:rFonts w:hint="eastAsia"/>
          <w:sz w:val="34"/>
          <w:szCs w:val="36"/>
        </w:rPr>
        <w:t xml:space="preserve"> </w:t>
      </w:r>
      <w:r w:rsidRPr="00490A57">
        <w:rPr>
          <w:sz w:val="34"/>
          <w:szCs w:val="36"/>
        </w:rPr>
        <w:t xml:space="preserve">Trade Facilitation, </w:t>
      </w:r>
      <w:r w:rsidRPr="00490A57">
        <w:rPr>
          <w:rFonts w:hint="eastAsia"/>
          <w:sz w:val="34"/>
          <w:szCs w:val="36"/>
        </w:rPr>
        <w:t>TFA</w:t>
      </w:r>
      <w:r w:rsidRPr="00490A57">
        <w:rPr>
          <w:rFonts w:hint="eastAsia"/>
          <w:sz w:val="34"/>
          <w:szCs w:val="36"/>
        </w:rPr>
        <w:t>）之目的</w:t>
      </w:r>
      <w:r w:rsidR="009E64BE">
        <w:rPr>
          <w:rFonts w:hint="eastAsia"/>
          <w:sz w:val="34"/>
          <w:szCs w:val="36"/>
        </w:rPr>
        <w:t>在於</w:t>
      </w:r>
      <w:r w:rsidR="003037F8" w:rsidRPr="003037F8">
        <w:rPr>
          <w:rFonts w:hint="eastAsia"/>
          <w:sz w:val="34"/>
          <w:szCs w:val="36"/>
        </w:rPr>
        <w:t>簡化通關、邊境查驗所需文件及程序之措施，以降低</w:t>
      </w:r>
      <w:r w:rsidR="00E64E73">
        <w:rPr>
          <w:rFonts w:hint="eastAsia"/>
          <w:sz w:val="34"/>
          <w:szCs w:val="36"/>
        </w:rPr>
        <w:t>跨國貿易的</w:t>
      </w:r>
      <w:r w:rsidR="003037F8" w:rsidRPr="003037F8">
        <w:rPr>
          <w:rFonts w:hint="eastAsia"/>
          <w:sz w:val="34"/>
          <w:szCs w:val="36"/>
        </w:rPr>
        <w:t>交易成本。</w:t>
      </w:r>
      <w:r w:rsidR="008E36CC" w:rsidRPr="008E36CC">
        <w:rPr>
          <w:rFonts w:hint="eastAsia"/>
          <w:sz w:val="34"/>
          <w:szCs w:val="36"/>
        </w:rPr>
        <w:t>依據</w:t>
      </w:r>
      <w:r w:rsidR="008E36CC" w:rsidRPr="008E36CC">
        <w:rPr>
          <w:rFonts w:hint="eastAsia"/>
          <w:sz w:val="34"/>
          <w:szCs w:val="36"/>
        </w:rPr>
        <w:t>OECD</w:t>
      </w:r>
      <w:r w:rsidR="008E36CC" w:rsidRPr="008E36CC">
        <w:rPr>
          <w:rFonts w:hint="eastAsia"/>
          <w:sz w:val="34"/>
          <w:szCs w:val="36"/>
        </w:rPr>
        <w:t>研究顯示，</w:t>
      </w:r>
      <w:r w:rsidR="00E3054F" w:rsidRPr="003037F8">
        <w:rPr>
          <w:rFonts w:hint="eastAsia"/>
          <w:sz w:val="34"/>
          <w:szCs w:val="36"/>
        </w:rPr>
        <w:t>貿易便捷化</w:t>
      </w:r>
      <w:r w:rsidR="00E3054F" w:rsidRPr="00E3054F">
        <w:rPr>
          <w:rFonts w:hint="eastAsia"/>
          <w:sz w:val="34"/>
          <w:szCs w:val="36"/>
        </w:rPr>
        <w:t>具有活絡國際貿易之效能，其重要性不亞於降低或消除關稅及</w:t>
      </w:r>
      <w:r w:rsidR="00E417DE">
        <w:rPr>
          <w:rFonts w:hint="eastAsia"/>
          <w:sz w:val="34"/>
          <w:szCs w:val="36"/>
        </w:rPr>
        <w:t>其他</w:t>
      </w:r>
      <w:r w:rsidR="00E3054F" w:rsidRPr="00E3054F">
        <w:rPr>
          <w:rFonts w:hint="eastAsia"/>
          <w:sz w:val="34"/>
          <w:szCs w:val="36"/>
        </w:rPr>
        <w:t>非關稅障礙。</w:t>
      </w:r>
    </w:p>
    <w:p w:rsidR="00A660E3" w:rsidRPr="00E3054F" w:rsidRDefault="00961999" w:rsidP="00251776">
      <w:pPr>
        <w:pStyle w:val="af6"/>
        <w:wordWrap/>
        <w:spacing w:before="100" w:beforeAutospacing="1" w:after="100" w:afterAutospacing="1" w:line="360" w:lineRule="auto"/>
        <w:ind w:firstLineChars="200" w:firstLine="680"/>
        <w:rPr>
          <w:sz w:val="34"/>
          <w:szCs w:val="36"/>
        </w:rPr>
      </w:pPr>
      <w:r>
        <w:rPr>
          <w:rFonts w:hint="eastAsia"/>
          <w:sz w:val="34"/>
          <w:szCs w:val="36"/>
        </w:rPr>
        <w:t>WTO</w:t>
      </w:r>
      <w:r>
        <w:rPr>
          <w:rFonts w:hint="eastAsia"/>
          <w:sz w:val="34"/>
          <w:szCs w:val="36"/>
        </w:rPr>
        <w:t>於</w:t>
      </w:r>
      <w:r>
        <w:rPr>
          <w:rFonts w:hint="eastAsia"/>
          <w:sz w:val="34"/>
          <w:szCs w:val="36"/>
        </w:rPr>
        <w:t>91</w:t>
      </w:r>
      <w:r>
        <w:rPr>
          <w:rFonts w:hint="eastAsia"/>
          <w:sz w:val="34"/>
          <w:szCs w:val="36"/>
        </w:rPr>
        <w:t>年宣布展開杜哈回合</w:t>
      </w:r>
      <w:r w:rsidR="0000467F">
        <w:rPr>
          <w:rFonts w:hint="eastAsia"/>
          <w:sz w:val="34"/>
          <w:szCs w:val="36"/>
        </w:rPr>
        <w:t>的</w:t>
      </w:r>
      <w:r>
        <w:rPr>
          <w:rFonts w:hint="eastAsia"/>
          <w:sz w:val="34"/>
          <w:szCs w:val="36"/>
        </w:rPr>
        <w:t>談判之後，</w:t>
      </w:r>
      <w:r w:rsidR="0000467F">
        <w:rPr>
          <w:rFonts w:hint="eastAsia"/>
          <w:sz w:val="34"/>
          <w:szCs w:val="36"/>
        </w:rPr>
        <w:t>於</w:t>
      </w:r>
      <w:r>
        <w:rPr>
          <w:rFonts w:hint="eastAsia"/>
          <w:sz w:val="34"/>
          <w:szCs w:val="36"/>
        </w:rPr>
        <w:t>93</w:t>
      </w:r>
      <w:r>
        <w:rPr>
          <w:rFonts w:hint="eastAsia"/>
          <w:sz w:val="34"/>
          <w:szCs w:val="36"/>
        </w:rPr>
        <w:t>年決議將</w:t>
      </w:r>
      <w:r>
        <w:rPr>
          <w:rFonts w:ascii="標楷體" w:hAnsi="標楷體" w:hint="eastAsia"/>
          <w:sz w:val="34"/>
          <w:szCs w:val="36"/>
        </w:rPr>
        <w:t>「貿易便捷化」納入談判議題。</w:t>
      </w:r>
      <w:r>
        <w:rPr>
          <w:rFonts w:hint="eastAsia"/>
          <w:sz w:val="34"/>
          <w:szCs w:val="36"/>
        </w:rPr>
        <w:t>本項</w:t>
      </w:r>
      <w:r w:rsidR="00E3054F">
        <w:rPr>
          <w:rFonts w:hint="eastAsia"/>
          <w:sz w:val="34"/>
          <w:szCs w:val="36"/>
        </w:rPr>
        <w:t>協定</w:t>
      </w:r>
      <w:r w:rsidR="00E3054F" w:rsidRPr="00CD1B29">
        <w:rPr>
          <w:rFonts w:hint="eastAsia"/>
          <w:sz w:val="34"/>
          <w:szCs w:val="34"/>
        </w:rPr>
        <w:t>草案是</w:t>
      </w:r>
      <w:r w:rsidR="00E3054F" w:rsidRPr="00CD1B29">
        <w:rPr>
          <w:sz w:val="34"/>
          <w:szCs w:val="34"/>
        </w:rPr>
        <w:t>102</w:t>
      </w:r>
      <w:r w:rsidR="00E3054F" w:rsidRPr="00CD1B29">
        <w:rPr>
          <w:sz w:val="34"/>
          <w:szCs w:val="34"/>
        </w:rPr>
        <w:t>年</w:t>
      </w:r>
      <w:r w:rsidR="00E3054F" w:rsidRPr="00CD1B29">
        <w:rPr>
          <w:sz w:val="34"/>
          <w:szCs w:val="34"/>
        </w:rPr>
        <w:t>12</w:t>
      </w:r>
      <w:r w:rsidR="00E3054F" w:rsidRPr="00CD1B29">
        <w:rPr>
          <w:sz w:val="34"/>
          <w:szCs w:val="34"/>
        </w:rPr>
        <w:t>月</w:t>
      </w:r>
      <w:r w:rsidR="00E3054F" w:rsidRPr="00CD1B29">
        <w:rPr>
          <w:sz w:val="34"/>
          <w:szCs w:val="34"/>
        </w:rPr>
        <w:t>WTO</w:t>
      </w:r>
      <w:r w:rsidR="00E3054F" w:rsidRPr="00CD1B29">
        <w:rPr>
          <w:sz w:val="34"/>
          <w:szCs w:val="34"/>
        </w:rPr>
        <w:t>在印尼峇里島召開第</w:t>
      </w:r>
      <w:r w:rsidR="00E3054F" w:rsidRPr="00CD1B29">
        <w:rPr>
          <w:sz w:val="34"/>
          <w:szCs w:val="34"/>
        </w:rPr>
        <w:t>9</w:t>
      </w:r>
      <w:r w:rsidR="00E3054F" w:rsidRPr="00CD1B29">
        <w:rPr>
          <w:sz w:val="34"/>
          <w:szCs w:val="34"/>
        </w:rPr>
        <w:t>屆部長會議所達成「峇里套案」三大成果之一</w:t>
      </w:r>
      <w:r w:rsidR="00E3054F" w:rsidRPr="00CD1B29">
        <w:rPr>
          <w:rFonts w:hint="eastAsia"/>
          <w:sz w:val="34"/>
          <w:szCs w:val="34"/>
        </w:rPr>
        <w:t>；亦</w:t>
      </w:r>
      <w:r w:rsidR="00E3054F">
        <w:rPr>
          <w:rFonts w:hint="eastAsia"/>
          <w:sz w:val="34"/>
          <w:szCs w:val="34"/>
        </w:rPr>
        <w:t>是</w:t>
      </w:r>
      <w:r>
        <w:rPr>
          <w:rFonts w:hint="eastAsia"/>
          <w:sz w:val="34"/>
          <w:szCs w:val="36"/>
        </w:rPr>
        <w:t>杜哈</w:t>
      </w:r>
      <w:r w:rsidR="00E3054F">
        <w:rPr>
          <w:rFonts w:hint="eastAsia"/>
          <w:sz w:val="34"/>
          <w:szCs w:val="36"/>
        </w:rPr>
        <w:t>回合</w:t>
      </w:r>
      <w:r>
        <w:rPr>
          <w:rFonts w:hint="eastAsia"/>
          <w:sz w:val="34"/>
          <w:szCs w:val="36"/>
        </w:rPr>
        <w:t>長達</w:t>
      </w:r>
      <w:r>
        <w:rPr>
          <w:rFonts w:hint="eastAsia"/>
          <w:sz w:val="34"/>
          <w:szCs w:val="36"/>
        </w:rPr>
        <w:t>12</w:t>
      </w:r>
      <w:r>
        <w:rPr>
          <w:rFonts w:hint="eastAsia"/>
          <w:sz w:val="34"/>
          <w:szCs w:val="36"/>
        </w:rPr>
        <w:t>年的談判</w:t>
      </w:r>
      <w:r w:rsidR="00E3054F">
        <w:rPr>
          <w:rFonts w:hint="eastAsia"/>
          <w:sz w:val="34"/>
          <w:szCs w:val="36"/>
        </w:rPr>
        <w:t>以來</w:t>
      </w:r>
      <w:r>
        <w:rPr>
          <w:rFonts w:hint="eastAsia"/>
          <w:sz w:val="34"/>
          <w:szCs w:val="36"/>
        </w:rPr>
        <w:t>，</w:t>
      </w:r>
      <w:r w:rsidR="00E3054F">
        <w:rPr>
          <w:rFonts w:hint="eastAsia"/>
          <w:sz w:val="34"/>
          <w:szCs w:val="36"/>
        </w:rPr>
        <w:t>所達成的第一個新多邊</w:t>
      </w:r>
      <w:r w:rsidR="008C2F2F">
        <w:rPr>
          <w:rFonts w:hint="eastAsia"/>
          <w:sz w:val="34"/>
          <w:szCs w:val="36"/>
        </w:rPr>
        <w:t>協定。</w:t>
      </w:r>
      <w:r w:rsidR="0012686D" w:rsidRPr="0012686D">
        <w:rPr>
          <w:rFonts w:hint="eastAsia"/>
          <w:sz w:val="34"/>
          <w:szCs w:val="36"/>
        </w:rPr>
        <w:t>此一突破性進展，不僅落實「峇里套案</w:t>
      </w:r>
      <w:r w:rsidR="00526BDF">
        <w:rPr>
          <w:sz w:val="34"/>
          <w:szCs w:val="36"/>
        </w:rPr>
        <w:t>（</w:t>
      </w:r>
      <w:r w:rsidR="0012686D" w:rsidRPr="0012686D">
        <w:rPr>
          <w:sz w:val="34"/>
          <w:szCs w:val="36"/>
        </w:rPr>
        <w:t>Bali Package</w:t>
      </w:r>
      <w:r w:rsidR="00526BDF">
        <w:rPr>
          <w:sz w:val="34"/>
          <w:szCs w:val="36"/>
        </w:rPr>
        <w:t>）</w:t>
      </w:r>
      <w:r w:rsidR="0012686D" w:rsidRPr="0012686D">
        <w:rPr>
          <w:rFonts w:hint="eastAsia"/>
          <w:sz w:val="34"/>
          <w:szCs w:val="36"/>
        </w:rPr>
        <w:t>」之執行，亦恢復會員對多邊貿易體制之信心，為「後峇里（</w:t>
      </w:r>
      <w:r w:rsidR="0012686D" w:rsidRPr="0012686D">
        <w:rPr>
          <w:rFonts w:hint="eastAsia"/>
          <w:sz w:val="34"/>
          <w:szCs w:val="36"/>
        </w:rPr>
        <w:t>post-Bali</w:t>
      </w:r>
      <w:r w:rsidR="0012686D" w:rsidRPr="0012686D">
        <w:rPr>
          <w:rFonts w:hint="eastAsia"/>
          <w:sz w:val="34"/>
          <w:szCs w:val="36"/>
        </w:rPr>
        <w:t>）工作計畫」之推動挹注動能。</w:t>
      </w:r>
    </w:p>
    <w:p w:rsidR="00251776" w:rsidRDefault="008C2F2F" w:rsidP="00251776">
      <w:pPr>
        <w:pStyle w:val="af6"/>
        <w:wordWrap/>
        <w:spacing w:before="100" w:beforeAutospacing="1" w:after="100" w:afterAutospacing="1" w:line="360" w:lineRule="auto"/>
        <w:rPr>
          <w:sz w:val="34"/>
          <w:szCs w:val="36"/>
        </w:rPr>
      </w:pPr>
      <w:r>
        <w:rPr>
          <w:rFonts w:hint="eastAsia"/>
          <w:sz w:val="34"/>
          <w:szCs w:val="36"/>
        </w:rPr>
        <w:t xml:space="preserve">    </w:t>
      </w:r>
      <w:r w:rsidR="00E3054F" w:rsidRPr="00E3054F">
        <w:rPr>
          <w:rFonts w:hint="eastAsia"/>
          <w:sz w:val="34"/>
          <w:szCs w:val="36"/>
        </w:rPr>
        <w:t>依據經濟合作暨發展組織（</w:t>
      </w:r>
      <w:r w:rsidR="00E3054F" w:rsidRPr="00E3054F">
        <w:rPr>
          <w:rFonts w:hint="eastAsia"/>
          <w:sz w:val="34"/>
          <w:szCs w:val="36"/>
        </w:rPr>
        <w:t>OECD</w:t>
      </w:r>
      <w:r w:rsidR="00E3054F" w:rsidRPr="00E3054F">
        <w:rPr>
          <w:rFonts w:hint="eastAsia"/>
          <w:sz w:val="34"/>
          <w:szCs w:val="36"/>
        </w:rPr>
        <w:t>）</w:t>
      </w:r>
      <w:r w:rsidR="00E417DE">
        <w:rPr>
          <w:rFonts w:hint="eastAsia"/>
          <w:sz w:val="34"/>
          <w:szCs w:val="36"/>
        </w:rPr>
        <w:t>去</w:t>
      </w:r>
      <w:r w:rsidR="00E3054F" w:rsidRPr="00E3054F">
        <w:rPr>
          <w:rFonts w:hint="eastAsia"/>
          <w:sz w:val="34"/>
          <w:szCs w:val="36"/>
        </w:rPr>
        <w:t>年</w:t>
      </w:r>
      <w:r w:rsidR="00E3054F" w:rsidRPr="00E3054F">
        <w:rPr>
          <w:rFonts w:hint="eastAsia"/>
          <w:sz w:val="34"/>
          <w:szCs w:val="36"/>
        </w:rPr>
        <w:t>2</w:t>
      </w:r>
      <w:r w:rsidR="00E3054F" w:rsidRPr="00E3054F">
        <w:rPr>
          <w:rFonts w:hint="eastAsia"/>
          <w:sz w:val="34"/>
          <w:szCs w:val="36"/>
        </w:rPr>
        <w:t>月所公布資料顯示，透過</w:t>
      </w:r>
      <w:r w:rsidR="00A71FC2">
        <w:rPr>
          <w:rFonts w:hint="eastAsia"/>
          <w:sz w:val="34"/>
          <w:szCs w:val="36"/>
        </w:rPr>
        <w:t>貿易便捷化</w:t>
      </w:r>
      <w:r w:rsidR="00E3054F" w:rsidRPr="00E3054F">
        <w:rPr>
          <w:rFonts w:hint="eastAsia"/>
          <w:sz w:val="34"/>
          <w:szCs w:val="36"/>
        </w:rPr>
        <w:t>協定之執行，可降低全球貿易成本</w:t>
      </w:r>
      <w:r w:rsidR="00E3054F" w:rsidRPr="00E3054F">
        <w:rPr>
          <w:rFonts w:hint="eastAsia"/>
          <w:sz w:val="34"/>
          <w:szCs w:val="36"/>
        </w:rPr>
        <w:t>11.7%~15.1%</w:t>
      </w:r>
      <w:r w:rsidR="00E3054F" w:rsidRPr="00E3054F">
        <w:rPr>
          <w:rFonts w:hint="eastAsia"/>
          <w:sz w:val="34"/>
          <w:szCs w:val="36"/>
        </w:rPr>
        <w:t>，且執行程度越高，低所得及中</w:t>
      </w:r>
      <w:r w:rsidR="00F00198" w:rsidRPr="00E3054F">
        <w:rPr>
          <w:rFonts w:hint="eastAsia"/>
          <w:sz w:val="34"/>
          <w:szCs w:val="36"/>
        </w:rPr>
        <w:t>低</w:t>
      </w:r>
      <w:r w:rsidR="00E3054F" w:rsidRPr="00E3054F">
        <w:rPr>
          <w:rFonts w:hint="eastAsia"/>
          <w:sz w:val="34"/>
          <w:szCs w:val="36"/>
        </w:rPr>
        <w:t>所得國家受惠程度越高。另</w:t>
      </w:r>
      <w:r w:rsidR="00E3054F" w:rsidRPr="00E3054F">
        <w:rPr>
          <w:sz w:val="34"/>
          <w:szCs w:val="36"/>
        </w:rPr>
        <w:t>依據中</w:t>
      </w:r>
      <w:r w:rsidR="00E3054F" w:rsidRPr="00E3054F">
        <w:rPr>
          <w:rFonts w:hint="eastAsia"/>
          <w:sz w:val="34"/>
          <w:szCs w:val="36"/>
        </w:rPr>
        <w:t>華</w:t>
      </w:r>
      <w:r w:rsidR="00E3054F" w:rsidRPr="00E3054F">
        <w:rPr>
          <w:sz w:val="34"/>
          <w:szCs w:val="36"/>
        </w:rPr>
        <w:t>經</w:t>
      </w:r>
      <w:r w:rsidR="00E3054F" w:rsidRPr="00E3054F">
        <w:rPr>
          <w:rFonts w:hint="eastAsia"/>
          <w:sz w:val="34"/>
          <w:szCs w:val="36"/>
        </w:rPr>
        <w:t>濟研究</w:t>
      </w:r>
      <w:r w:rsidR="00E3054F" w:rsidRPr="00E3054F">
        <w:rPr>
          <w:sz w:val="34"/>
          <w:szCs w:val="36"/>
        </w:rPr>
        <w:t>院</w:t>
      </w:r>
      <w:r w:rsidR="00E3054F" w:rsidRPr="00E3054F">
        <w:rPr>
          <w:sz w:val="34"/>
          <w:szCs w:val="36"/>
        </w:rPr>
        <w:t>WTO</w:t>
      </w:r>
      <w:r w:rsidR="00E3054F" w:rsidRPr="00E3054F">
        <w:rPr>
          <w:sz w:val="34"/>
          <w:szCs w:val="36"/>
        </w:rPr>
        <w:t>及</w:t>
      </w:r>
      <w:r w:rsidR="00E3054F" w:rsidRPr="00E3054F">
        <w:rPr>
          <w:sz w:val="34"/>
          <w:szCs w:val="36"/>
        </w:rPr>
        <w:t>RTA</w:t>
      </w:r>
      <w:r w:rsidR="00E3054F" w:rsidRPr="00E3054F">
        <w:rPr>
          <w:sz w:val="34"/>
          <w:szCs w:val="36"/>
        </w:rPr>
        <w:t>中心研究顯示，透過</w:t>
      </w:r>
      <w:r w:rsidR="00A71FC2">
        <w:rPr>
          <w:rFonts w:hint="eastAsia"/>
          <w:sz w:val="34"/>
          <w:szCs w:val="36"/>
        </w:rPr>
        <w:t>貿易便捷化</w:t>
      </w:r>
      <w:r w:rsidR="00E3054F" w:rsidRPr="00E3054F">
        <w:rPr>
          <w:rFonts w:hint="eastAsia"/>
          <w:sz w:val="34"/>
          <w:szCs w:val="36"/>
        </w:rPr>
        <w:t>協定生效所帶來之</w:t>
      </w:r>
      <w:r w:rsidR="00E3054F" w:rsidRPr="00E3054F">
        <w:rPr>
          <w:sz w:val="34"/>
          <w:szCs w:val="36"/>
        </w:rPr>
        <w:t>交易成本降低及通</w:t>
      </w:r>
      <w:r w:rsidR="00E3054F" w:rsidRPr="00E3054F">
        <w:rPr>
          <w:sz w:val="34"/>
          <w:szCs w:val="36"/>
        </w:rPr>
        <w:lastRenderedPageBreak/>
        <w:t>關效率提升之效益，預估可促進我</w:t>
      </w:r>
      <w:r w:rsidR="00E3054F" w:rsidRPr="00E3054F">
        <w:rPr>
          <w:sz w:val="34"/>
          <w:szCs w:val="36"/>
        </w:rPr>
        <w:t>GDP</w:t>
      </w:r>
      <w:r w:rsidR="00E3054F" w:rsidRPr="00E3054F">
        <w:rPr>
          <w:sz w:val="34"/>
          <w:szCs w:val="36"/>
        </w:rPr>
        <w:t>增加</w:t>
      </w:r>
      <w:r w:rsidR="00E3054F" w:rsidRPr="00E3054F">
        <w:rPr>
          <w:sz w:val="34"/>
          <w:szCs w:val="36"/>
        </w:rPr>
        <w:t>38.58</w:t>
      </w:r>
      <w:r w:rsidR="00E3054F" w:rsidRPr="00E3054F">
        <w:rPr>
          <w:sz w:val="34"/>
          <w:szCs w:val="36"/>
        </w:rPr>
        <w:t>億美元，總產值增加</w:t>
      </w:r>
      <w:r w:rsidR="00E3054F" w:rsidRPr="00E3054F">
        <w:rPr>
          <w:sz w:val="34"/>
          <w:szCs w:val="36"/>
        </w:rPr>
        <w:t>55.59</w:t>
      </w:r>
      <w:r w:rsidR="00E3054F" w:rsidRPr="00E3054F">
        <w:rPr>
          <w:sz w:val="34"/>
          <w:szCs w:val="36"/>
        </w:rPr>
        <w:t>億美</w:t>
      </w:r>
      <w:r w:rsidR="00E3054F" w:rsidRPr="00E3054F">
        <w:rPr>
          <w:rFonts w:hint="eastAsia"/>
          <w:sz w:val="34"/>
          <w:szCs w:val="36"/>
        </w:rPr>
        <w:t>元</w:t>
      </w:r>
      <w:r w:rsidR="00E3054F" w:rsidRPr="00E3054F">
        <w:rPr>
          <w:sz w:val="34"/>
          <w:szCs w:val="36"/>
        </w:rPr>
        <w:t>，總出口、總進口</w:t>
      </w:r>
      <w:r w:rsidR="008B280E">
        <w:rPr>
          <w:rFonts w:hint="eastAsia"/>
          <w:sz w:val="34"/>
          <w:szCs w:val="36"/>
        </w:rPr>
        <w:t>額</w:t>
      </w:r>
      <w:r w:rsidR="00E3054F" w:rsidRPr="00E3054F">
        <w:rPr>
          <w:sz w:val="34"/>
          <w:szCs w:val="36"/>
        </w:rPr>
        <w:t>可分別增加</w:t>
      </w:r>
      <w:r w:rsidR="00E3054F" w:rsidRPr="00E3054F">
        <w:rPr>
          <w:sz w:val="34"/>
          <w:szCs w:val="36"/>
        </w:rPr>
        <w:t>32.26</w:t>
      </w:r>
      <w:r w:rsidR="00E3054F" w:rsidRPr="00E3054F">
        <w:rPr>
          <w:sz w:val="34"/>
          <w:szCs w:val="36"/>
        </w:rPr>
        <w:t>億美元</w:t>
      </w:r>
      <w:r w:rsidR="00E3054F" w:rsidRPr="00E3054F">
        <w:rPr>
          <w:rFonts w:hint="eastAsia"/>
          <w:sz w:val="34"/>
          <w:szCs w:val="36"/>
        </w:rPr>
        <w:t>及</w:t>
      </w:r>
      <w:r w:rsidR="00E3054F" w:rsidRPr="00E3054F">
        <w:rPr>
          <w:sz w:val="34"/>
          <w:szCs w:val="36"/>
        </w:rPr>
        <w:t>27.94</w:t>
      </w:r>
      <w:r w:rsidR="00E3054F" w:rsidRPr="00E3054F">
        <w:rPr>
          <w:sz w:val="34"/>
          <w:szCs w:val="36"/>
        </w:rPr>
        <w:t>億美元。</w:t>
      </w:r>
    </w:p>
    <w:p w:rsidR="00707831" w:rsidRPr="00EC23F6" w:rsidRDefault="002B1EB3" w:rsidP="00251776">
      <w:pPr>
        <w:pStyle w:val="af6"/>
        <w:numPr>
          <w:ilvl w:val="0"/>
          <w:numId w:val="6"/>
        </w:numPr>
        <w:wordWrap/>
        <w:spacing w:beforeLines="100" w:before="360" w:after="100" w:afterAutospacing="1" w:line="360" w:lineRule="auto"/>
        <w:rPr>
          <w:b/>
          <w:sz w:val="34"/>
          <w:szCs w:val="34"/>
        </w:rPr>
      </w:pPr>
      <w:r>
        <w:rPr>
          <w:rFonts w:hint="eastAsia"/>
          <w:b/>
          <w:sz w:val="34"/>
          <w:szCs w:val="34"/>
        </w:rPr>
        <w:t>貿易便捷化協定架構及要點</w:t>
      </w:r>
    </w:p>
    <w:p w:rsidR="00C31A46" w:rsidRPr="00EC23F6" w:rsidRDefault="000B5329" w:rsidP="00251776">
      <w:pPr>
        <w:pStyle w:val="af6"/>
        <w:wordWrap/>
        <w:spacing w:before="100" w:beforeAutospacing="1" w:after="100" w:afterAutospacing="1" w:line="360" w:lineRule="auto"/>
        <w:ind w:firstLineChars="200" w:firstLine="680"/>
        <w:rPr>
          <w:sz w:val="34"/>
          <w:szCs w:val="36"/>
        </w:rPr>
      </w:pPr>
      <w:r w:rsidRPr="00EC23F6">
        <w:rPr>
          <w:rFonts w:hint="eastAsia"/>
          <w:sz w:val="34"/>
          <w:szCs w:val="36"/>
        </w:rPr>
        <w:t>本</w:t>
      </w:r>
      <w:r w:rsidR="00C31A46" w:rsidRPr="00EC23F6">
        <w:rPr>
          <w:rFonts w:hint="eastAsia"/>
          <w:sz w:val="34"/>
          <w:szCs w:val="36"/>
        </w:rPr>
        <w:t>協定共</w:t>
      </w:r>
      <w:r w:rsidR="00C31A46" w:rsidRPr="00EC23F6">
        <w:rPr>
          <w:rFonts w:hint="eastAsia"/>
          <w:sz w:val="34"/>
          <w:szCs w:val="36"/>
        </w:rPr>
        <w:t>3</w:t>
      </w:r>
      <w:r w:rsidR="00C31A46" w:rsidRPr="00EC23F6">
        <w:rPr>
          <w:rFonts w:hint="eastAsia"/>
          <w:sz w:val="34"/>
          <w:szCs w:val="36"/>
        </w:rPr>
        <w:t>篇</w:t>
      </w:r>
      <w:r w:rsidR="00C31A46" w:rsidRPr="00EC23F6">
        <w:rPr>
          <w:rFonts w:hint="eastAsia"/>
          <w:sz w:val="34"/>
          <w:szCs w:val="36"/>
        </w:rPr>
        <w:t>24</w:t>
      </w:r>
      <w:r w:rsidR="00C31A46" w:rsidRPr="00EC23F6">
        <w:rPr>
          <w:rFonts w:hint="eastAsia"/>
          <w:sz w:val="34"/>
          <w:szCs w:val="36"/>
        </w:rPr>
        <w:t>條，</w:t>
      </w:r>
      <w:r w:rsidR="004E6E2C" w:rsidRPr="00EC23F6">
        <w:rPr>
          <w:rFonts w:hint="eastAsia"/>
          <w:sz w:val="34"/>
          <w:szCs w:val="36"/>
        </w:rPr>
        <w:t>內容係由會員依</w:t>
      </w:r>
      <w:r w:rsidR="004C2A2B">
        <w:rPr>
          <w:rFonts w:hint="eastAsia"/>
          <w:sz w:val="34"/>
          <w:szCs w:val="36"/>
        </w:rPr>
        <w:t>據</w:t>
      </w:r>
      <w:r w:rsidR="008B280E">
        <w:rPr>
          <w:rFonts w:hint="eastAsia"/>
          <w:sz w:val="34"/>
          <w:szCs w:val="36"/>
        </w:rPr>
        <w:t>90</w:t>
      </w:r>
      <w:r w:rsidR="004E6E2C" w:rsidRPr="00EC23F6">
        <w:rPr>
          <w:rFonts w:hint="eastAsia"/>
          <w:sz w:val="34"/>
          <w:szCs w:val="36"/>
        </w:rPr>
        <w:t>年杜哈部長宣言授權，就</w:t>
      </w:r>
      <w:r w:rsidR="004E6E2C" w:rsidRPr="00EC23F6">
        <w:rPr>
          <w:sz w:val="34"/>
          <w:szCs w:val="36"/>
        </w:rPr>
        <w:t>GATT</w:t>
      </w:r>
      <w:r w:rsidR="00D11A27">
        <w:rPr>
          <w:rFonts w:hint="eastAsia"/>
          <w:sz w:val="34"/>
          <w:szCs w:val="36"/>
        </w:rPr>
        <w:t>第</w:t>
      </w:r>
      <w:r w:rsidR="00D11A27">
        <w:rPr>
          <w:rFonts w:hint="eastAsia"/>
          <w:sz w:val="34"/>
          <w:szCs w:val="36"/>
        </w:rPr>
        <w:t>5</w:t>
      </w:r>
      <w:r w:rsidR="00D11A27">
        <w:rPr>
          <w:rFonts w:hint="eastAsia"/>
          <w:sz w:val="34"/>
          <w:szCs w:val="36"/>
        </w:rPr>
        <w:t>、</w:t>
      </w:r>
      <w:r w:rsidR="00D11A27">
        <w:rPr>
          <w:rFonts w:hint="eastAsia"/>
          <w:sz w:val="34"/>
          <w:szCs w:val="36"/>
        </w:rPr>
        <w:t>8</w:t>
      </w:r>
      <w:r w:rsidR="00D11A27">
        <w:rPr>
          <w:rFonts w:hint="eastAsia"/>
          <w:sz w:val="34"/>
          <w:szCs w:val="36"/>
        </w:rPr>
        <w:t>、</w:t>
      </w:r>
      <w:r w:rsidR="00D11A27">
        <w:rPr>
          <w:rFonts w:hint="eastAsia"/>
          <w:sz w:val="34"/>
          <w:szCs w:val="36"/>
        </w:rPr>
        <w:t>10</w:t>
      </w:r>
      <w:r w:rsidR="004E6E2C" w:rsidRPr="00EC23F6">
        <w:rPr>
          <w:rFonts w:hint="eastAsia"/>
          <w:sz w:val="34"/>
          <w:szCs w:val="36"/>
        </w:rPr>
        <w:t>條有關貨品轉運、貿易程序與規費、法規透明化等條文提出具體規範，以及提供開發中</w:t>
      </w:r>
      <w:r w:rsidR="00F00198">
        <w:rPr>
          <w:rFonts w:hint="eastAsia"/>
          <w:sz w:val="34"/>
          <w:szCs w:val="36"/>
        </w:rPr>
        <w:t>及</w:t>
      </w:r>
      <w:r w:rsidR="004E6E2C" w:rsidRPr="00EC23F6">
        <w:rPr>
          <w:rFonts w:hint="eastAsia"/>
          <w:sz w:val="34"/>
          <w:szCs w:val="36"/>
        </w:rPr>
        <w:t>低度開發國家之</w:t>
      </w:r>
      <w:r w:rsidR="00A22BA3">
        <w:rPr>
          <w:rFonts w:hint="eastAsia"/>
          <w:sz w:val="34"/>
          <w:szCs w:val="36"/>
        </w:rPr>
        <w:t>能力建構與</w:t>
      </w:r>
      <w:r w:rsidR="004E6E2C" w:rsidRPr="00EC23F6">
        <w:rPr>
          <w:rFonts w:hint="eastAsia"/>
          <w:sz w:val="34"/>
          <w:szCs w:val="36"/>
        </w:rPr>
        <w:t>優惠待遇，</w:t>
      </w:r>
      <w:r w:rsidR="00C31A46" w:rsidRPr="00EC23F6">
        <w:rPr>
          <w:rFonts w:hint="eastAsia"/>
          <w:sz w:val="34"/>
          <w:szCs w:val="36"/>
        </w:rPr>
        <w:t>要點</w:t>
      </w:r>
      <w:r w:rsidR="00E52677" w:rsidRPr="00EC23F6">
        <w:rPr>
          <w:rFonts w:hint="eastAsia"/>
          <w:sz w:val="34"/>
          <w:szCs w:val="36"/>
        </w:rPr>
        <w:t>臚</w:t>
      </w:r>
      <w:r w:rsidR="00C31A46" w:rsidRPr="00EC23F6">
        <w:rPr>
          <w:rFonts w:hint="eastAsia"/>
          <w:sz w:val="34"/>
          <w:szCs w:val="36"/>
        </w:rPr>
        <w:t>陳如次：</w:t>
      </w:r>
    </w:p>
    <w:p w:rsidR="00CD30D8" w:rsidRDefault="00CD30D8" w:rsidP="00251776">
      <w:pPr>
        <w:pStyle w:val="af7"/>
        <w:numPr>
          <w:ilvl w:val="0"/>
          <w:numId w:val="18"/>
        </w:numPr>
        <w:spacing w:before="100" w:beforeAutospacing="1" w:after="100" w:afterAutospacing="1" w:line="360" w:lineRule="auto"/>
        <w:ind w:left="993" w:hanging="709"/>
        <w:rPr>
          <w:bCs/>
          <w:noProof/>
          <w:kern w:val="0"/>
          <w:sz w:val="34"/>
          <w:szCs w:val="36"/>
        </w:rPr>
      </w:pPr>
      <w:r w:rsidRPr="005250DA">
        <w:rPr>
          <w:rFonts w:hint="eastAsia"/>
          <w:bCs/>
          <w:noProof/>
          <w:kern w:val="0"/>
          <w:sz w:val="34"/>
          <w:szCs w:val="36"/>
        </w:rPr>
        <w:t>第一篇</w:t>
      </w:r>
      <w:r>
        <w:rPr>
          <w:rFonts w:hint="eastAsia"/>
          <w:bCs/>
          <w:noProof/>
          <w:kern w:val="0"/>
          <w:sz w:val="34"/>
          <w:szCs w:val="36"/>
        </w:rPr>
        <w:t>(</w:t>
      </w:r>
      <w:r w:rsidRPr="00645A2D">
        <w:rPr>
          <w:rFonts w:hint="eastAsia"/>
          <w:bCs/>
          <w:noProof/>
          <w:kern w:val="0"/>
          <w:sz w:val="34"/>
          <w:szCs w:val="36"/>
        </w:rPr>
        <w:t>第</w:t>
      </w:r>
      <w:r w:rsidRPr="00645A2D">
        <w:rPr>
          <w:rFonts w:hint="eastAsia"/>
          <w:bCs/>
          <w:noProof/>
          <w:kern w:val="0"/>
          <w:sz w:val="34"/>
          <w:szCs w:val="36"/>
        </w:rPr>
        <w:t>1~</w:t>
      </w:r>
      <w:r>
        <w:rPr>
          <w:rFonts w:hint="eastAsia"/>
          <w:bCs/>
          <w:noProof/>
          <w:kern w:val="0"/>
          <w:sz w:val="34"/>
          <w:szCs w:val="36"/>
        </w:rPr>
        <w:t>12</w:t>
      </w:r>
      <w:r w:rsidRPr="00645A2D">
        <w:rPr>
          <w:rFonts w:hint="eastAsia"/>
          <w:bCs/>
          <w:noProof/>
          <w:kern w:val="0"/>
          <w:sz w:val="34"/>
          <w:szCs w:val="36"/>
        </w:rPr>
        <w:t>條</w:t>
      </w:r>
      <w:r>
        <w:rPr>
          <w:rFonts w:hint="eastAsia"/>
          <w:bCs/>
          <w:noProof/>
          <w:kern w:val="0"/>
          <w:sz w:val="34"/>
          <w:szCs w:val="36"/>
        </w:rPr>
        <w:t>)</w:t>
      </w:r>
      <w:r w:rsidRPr="00645A2D">
        <w:rPr>
          <w:rFonts w:hint="eastAsia"/>
          <w:bCs/>
          <w:noProof/>
          <w:kern w:val="0"/>
          <w:sz w:val="34"/>
          <w:szCs w:val="36"/>
        </w:rPr>
        <w:t>：</w:t>
      </w:r>
    </w:p>
    <w:p w:rsidR="00CD30D8" w:rsidRDefault="00CD30D8" w:rsidP="00251776">
      <w:pPr>
        <w:pStyle w:val="af7"/>
        <w:numPr>
          <w:ilvl w:val="1"/>
          <w:numId w:val="18"/>
        </w:numPr>
        <w:spacing w:before="100" w:beforeAutospacing="1" w:after="100" w:afterAutospacing="1" w:line="360" w:lineRule="auto"/>
        <w:ind w:leftChars="200" w:left="1200"/>
        <w:rPr>
          <w:bCs/>
          <w:noProof/>
          <w:kern w:val="0"/>
          <w:sz w:val="34"/>
          <w:szCs w:val="36"/>
        </w:rPr>
      </w:pPr>
      <w:r w:rsidRPr="00645A2D">
        <w:rPr>
          <w:rFonts w:hint="eastAsia"/>
          <w:bCs/>
          <w:noProof/>
          <w:kern w:val="0"/>
          <w:sz w:val="34"/>
          <w:szCs w:val="36"/>
        </w:rPr>
        <w:t>法規透明化</w:t>
      </w:r>
      <w:r>
        <w:rPr>
          <w:rFonts w:hint="eastAsia"/>
          <w:bCs/>
          <w:noProof/>
          <w:kern w:val="0"/>
          <w:sz w:val="34"/>
          <w:szCs w:val="36"/>
        </w:rPr>
        <w:t>措施：主要規範進出口相關資訊應即時公</w:t>
      </w:r>
      <w:r w:rsidR="00F00198">
        <w:rPr>
          <w:rFonts w:hint="eastAsia"/>
          <w:bCs/>
          <w:noProof/>
          <w:kern w:val="0"/>
          <w:sz w:val="34"/>
          <w:szCs w:val="36"/>
        </w:rPr>
        <w:t>布，並儘可能上網；法規修正時應提供貿易商表達意見之機會；建立邊境</w:t>
      </w:r>
      <w:r>
        <w:rPr>
          <w:rFonts w:hint="eastAsia"/>
          <w:bCs/>
          <w:noProof/>
          <w:kern w:val="0"/>
          <w:sz w:val="34"/>
          <w:szCs w:val="36"/>
        </w:rPr>
        <w:t>加強控制或查驗之通知機制</w:t>
      </w:r>
      <w:r w:rsidR="00DA11DB">
        <w:rPr>
          <w:rFonts w:hint="eastAsia"/>
          <w:bCs/>
          <w:noProof/>
          <w:kern w:val="0"/>
          <w:sz w:val="34"/>
          <w:szCs w:val="36"/>
        </w:rPr>
        <w:t>等</w:t>
      </w:r>
      <w:r>
        <w:rPr>
          <w:rFonts w:hint="eastAsia"/>
          <w:bCs/>
          <w:noProof/>
          <w:kern w:val="0"/>
          <w:sz w:val="34"/>
          <w:szCs w:val="36"/>
        </w:rPr>
        <w:t>。</w:t>
      </w:r>
    </w:p>
    <w:p w:rsidR="00CD30D8" w:rsidRDefault="00CD30D8" w:rsidP="00251776">
      <w:pPr>
        <w:pStyle w:val="af7"/>
        <w:numPr>
          <w:ilvl w:val="1"/>
          <w:numId w:val="18"/>
        </w:numPr>
        <w:spacing w:before="100" w:beforeAutospacing="1" w:after="100" w:afterAutospacing="1" w:line="360" w:lineRule="auto"/>
        <w:ind w:leftChars="200" w:left="1200"/>
        <w:rPr>
          <w:bCs/>
          <w:noProof/>
          <w:kern w:val="0"/>
          <w:sz w:val="34"/>
          <w:szCs w:val="36"/>
        </w:rPr>
      </w:pPr>
      <w:r>
        <w:rPr>
          <w:rFonts w:hint="eastAsia"/>
          <w:bCs/>
          <w:noProof/>
          <w:kern w:val="0"/>
          <w:sz w:val="34"/>
          <w:szCs w:val="36"/>
        </w:rPr>
        <w:t>簡化</w:t>
      </w:r>
      <w:r w:rsidRPr="00645A2D">
        <w:rPr>
          <w:rFonts w:hint="eastAsia"/>
          <w:bCs/>
          <w:noProof/>
          <w:kern w:val="0"/>
          <w:sz w:val="34"/>
          <w:szCs w:val="36"/>
        </w:rPr>
        <w:t>貿易程序與規費</w:t>
      </w:r>
      <w:r>
        <w:rPr>
          <w:rFonts w:hint="eastAsia"/>
          <w:bCs/>
          <w:noProof/>
          <w:kern w:val="0"/>
          <w:sz w:val="34"/>
          <w:szCs w:val="36"/>
        </w:rPr>
        <w:t>規定措施：主要規範進出口規費金額應與</w:t>
      </w:r>
      <w:r w:rsidR="00D10F7B">
        <w:rPr>
          <w:rFonts w:hint="eastAsia"/>
          <w:bCs/>
          <w:noProof/>
          <w:kern w:val="0"/>
          <w:sz w:val="34"/>
          <w:szCs w:val="36"/>
        </w:rPr>
        <w:t>所提供通關</w:t>
      </w:r>
      <w:r>
        <w:rPr>
          <w:rFonts w:hint="eastAsia"/>
          <w:bCs/>
          <w:noProof/>
          <w:kern w:val="0"/>
          <w:sz w:val="34"/>
          <w:szCs w:val="36"/>
        </w:rPr>
        <w:t>服務</w:t>
      </w:r>
      <w:r w:rsidR="00D10F7B">
        <w:rPr>
          <w:rFonts w:hint="eastAsia"/>
          <w:bCs/>
          <w:noProof/>
          <w:kern w:val="0"/>
          <w:sz w:val="34"/>
          <w:szCs w:val="36"/>
        </w:rPr>
        <w:t>之</w:t>
      </w:r>
      <w:r>
        <w:rPr>
          <w:rFonts w:hint="eastAsia"/>
          <w:bCs/>
          <w:noProof/>
          <w:kern w:val="0"/>
          <w:sz w:val="34"/>
          <w:szCs w:val="36"/>
        </w:rPr>
        <w:t>成本相當；會員應儘量簡化進出口或轉運之程序及文件要件，並儘量建置單一窗口，以利廠商提交進出口或轉運相關文件等。</w:t>
      </w:r>
    </w:p>
    <w:p w:rsidR="00CD30D8" w:rsidRDefault="00CD30D8" w:rsidP="00251776">
      <w:pPr>
        <w:pStyle w:val="af7"/>
        <w:numPr>
          <w:ilvl w:val="1"/>
          <w:numId w:val="18"/>
        </w:numPr>
        <w:spacing w:before="100" w:beforeAutospacing="1" w:after="100" w:afterAutospacing="1" w:line="360" w:lineRule="auto"/>
        <w:ind w:leftChars="200" w:left="1200"/>
        <w:rPr>
          <w:bCs/>
          <w:noProof/>
          <w:kern w:val="0"/>
          <w:sz w:val="34"/>
          <w:szCs w:val="36"/>
        </w:rPr>
      </w:pPr>
      <w:r w:rsidRPr="00645A2D">
        <w:rPr>
          <w:rFonts w:hint="eastAsia"/>
          <w:bCs/>
          <w:noProof/>
          <w:kern w:val="0"/>
          <w:sz w:val="34"/>
          <w:szCs w:val="36"/>
        </w:rPr>
        <w:t>強化轉運自由</w:t>
      </w:r>
      <w:r>
        <w:rPr>
          <w:rFonts w:hint="eastAsia"/>
          <w:bCs/>
          <w:noProof/>
          <w:kern w:val="0"/>
          <w:sz w:val="34"/>
          <w:szCs w:val="36"/>
        </w:rPr>
        <w:t>之措施：主要規範會員對於轉運之規費、文件或程序等要求，</w:t>
      </w:r>
      <w:r w:rsidR="00C67849">
        <w:rPr>
          <w:rFonts w:hint="eastAsia"/>
          <w:bCs/>
          <w:noProof/>
          <w:kern w:val="0"/>
          <w:sz w:val="34"/>
          <w:szCs w:val="36"/>
        </w:rPr>
        <w:t>亦</w:t>
      </w:r>
      <w:r>
        <w:rPr>
          <w:rFonts w:hint="eastAsia"/>
          <w:bCs/>
          <w:noProof/>
          <w:kern w:val="0"/>
          <w:sz w:val="34"/>
          <w:szCs w:val="36"/>
        </w:rPr>
        <w:t>不得構成貿易障礙。</w:t>
      </w:r>
    </w:p>
    <w:p w:rsidR="00CD30D8" w:rsidRPr="00CD30D8" w:rsidRDefault="00CD30D8" w:rsidP="00251776">
      <w:pPr>
        <w:pStyle w:val="af7"/>
        <w:numPr>
          <w:ilvl w:val="1"/>
          <w:numId w:val="18"/>
        </w:numPr>
        <w:spacing w:before="100" w:beforeAutospacing="1" w:after="100" w:afterAutospacing="1" w:line="360" w:lineRule="auto"/>
        <w:ind w:leftChars="200" w:left="1200"/>
        <w:rPr>
          <w:bCs/>
          <w:noProof/>
          <w:kern w:val="0"/>
          <w:sz w:val="34"/>
          <w:szCs w:val="36"/>
        </w:rPr>
      </w:pPr>
      <w:r w:rsidRPr="00CD30D8">
        <w:rPr>
          <w:rFonts w:hint="eastAsia"/>
          <w:bCs/>
          <w:noProof/>
          <w:kern w:val="0"/>
          <w:sz w:val="34"/>
          <w:szCs w:val="36"/>
        </w:rPr>
        <w:t>關務合作措施：主要規範會員間之資訊交換合作，以防止或查緝廠商不法行為，確保國際貿易秩序。</w:t>
      </w:r>
    </w:p>
    <w:p w:rsidR="003F460A" w:rsidRPr="00A71FC2" w:rsidRDefault="00707831" w:rsidP="00251776">
      <w:pPr>
        <w:pStyle w:val="af7"/>
        <w:numPr>
          <w:ilvl w:val="0"/>
          <w:numId w:val="18"/>
        </w:numPr>
        <w:spacing w:before="100" w:beforeAutospacing="1" w:after="100" w:afterAutospacing="1" w:line="360" w:lineRule="auto"/>
        <w:ind w:left="993" w:hanging="709"/>
        <w:rPr>
          <w:bCs/>
          <w:noProof/>
          <w:kern w:val="0"/>
          <w:sz w:val="34"/>
          <w:szCs w:val="36"/>
        </w:rPr>
      </w:pPr>
      <w:r w:rsidRPr="005250DA">
        <w:rPr>
          <w:rFonts w:hint="eastAsia"/>
          <w:bCs/>
          <w:noProof/>
          <w:kern w:val="0"/>
          <w:sz w:val="34"/>
          <w:szCs w:val="36"/>
        </w:rPr>
        <w:lastRenderedPageBreak/>
        <w:t>第二篇</w:t>
      </w:r>
      <w:r w:rsidR="00526BDF">
        <w:rPr>
          <w:rFonts w:hint="eastAsia"/>
          <w:bCs/>
          <w:noProof/>
          <w:kern w:val="0"/>
          <w:sz w:val="34"/>
          <w:szCs w:val="36"/>
        </w:rPr>
        <w:t>（</w:t>
      </w:r>
      <w:r w:rsidR="00645A2D">
        <w:rPr>
          <w:rFonts w:hint="eastAsia"/>
          <w:bCs/>
          <w:noProof/>
          <w:kern w:val="0"/>
          <w:sz w:val="34"/>
          <w:szCs w:val="36"/>
        </w:rPr>
        <w:t>第</w:t>
      </w:r>
      <w:r w:rsidR="00645A2D">
        <w:rPr>
          <w:rFonts w:hint="eastAsia"/>
          <w:bCs/>
          <w:noProof/>
          <w:kern w:val="0"/>
          <w:sz w:val="34"/>
          <w:szCs w:val="36"/>
        </w:rPr>
        <w:t>13~22</w:t>
      </w:r>
      <w:r w:rsidR="0055277B">
        <w:rPr>
          <w:rFonts w:hint="eastAsia"/>
          <w:bCs/>
          <w:noProof/>
          <w:kern w:val="0"/>
          <w:sz w:val="34"/>
          <w:szCs w:val="36"/>
        </w:rPr>
        <w:t>條</w:t>
      </w:r>
      <w:r w:rsidR="00526BDF">
        <w:rPr>
          <w:rFonts w:hint="eastAsia"/>
          <w:bCs/>
          <w:noProof/>
          <w:kern w:val="0"/>
          <w:sz w:val="34"/>
          <w:szCs w:val="36"/>
        </w:rPr>
        <w:t>）</w:t>
      </w:r>
      <w:r w:rsidR="00296701" w:rsidRPr="00EC23F6">
        <w:rPr>
          <w:rFonts w:hint="eastAsia"/>
          <w:sz w:val="34"/>
          <w:szCs w:val="36"/>
        </w:rPr>
        <w:t>：</w:t>
      </w:r>
      <w:r w:rsidR="004F769C">
        <w:rPr>
          <w:rFonts w:hint="eastAsia"/>
          <w:sz w:val="34"/>
          <w:szCs w:val="36"/>
        </w:rPr>
        <w:t>主要規範</w:t>
      </w:r>
      <w:r w:rsidR="004F6887">
        <w:rPr>
          <w:rFonts w:hint="eastAsia"/>
          <w:bCs/>
          <w:noProof/>
          <w:kern w:val="0"/>
          <w:sz w:val="34"/>
          <w:szCs w:val="36"/>
        </w:rPr>
        <w:t>開發中及低度開發會員之特殊及優惠待遇</w:t>
      </w:r>
      <w:r w:rsidR="00A71FC2">
        <w:rPr>
          <w:rFonts w:hint="eastAsia"/>
          <w:bCs/>
          <w:noProof/>
          <w:kern w:val="0"/>
          <w:sz w:val="34"/>
          <w:szCs w:val="36"/>
        </w:rPr>
        <w:t>，包括</w:t>
      </w:r>
      <w:r w:rsidR="004F6887" w:rsidRPr="00A71FC2">
        <w:rPr>
          <w:rFonts w:hint="eastAsia"/>
          <w:bCs/>
          <w:noProof/>
          <w:kern w:val="0"/>
          <w:sz w:val="34"/>
          <w:szCs w:val="36"/>
        </w:rPr>
        <w:t>會員</w:t>
      </w:r>
      <w:r w:rsidR="00894C1E" w:rsidRPr="00A71FC2">
        <w:rPr>
          <w:rFonts w:hint="eastAsia"/>
          <w:bCs/>
          <w:noProof/>
          <w:kern w:val="0"/>
          <w:sz w:val="34"/>
          <w:szCs w:val="36"/>
        </w:rPr>
        <w:t>如何提供</w:t>
      </w:r>
      <w:r w:rsidR="004F6887" w:rsidRPr="00A71FC2">
        <w:rPr>
          <w:rFonts w:hint="eastAsia"/>
          <w:bCs/>
          <w:noProof/>
          <w:kern w:val="0"/>
          <w:sz w:val="34"/>
          <w:szCs w:val="36"/>
        </w:rPr>
        <w:t>或要求</w:t>
      </w:r>
      <w:r w:rsidR="00465A98" w:rsidRPr="00A71FC2">
        <w:rPr>
          <w:rFonts w:hint="eastAsia"/>
          <w:bCs/>
          <w:noProof/>
          <w:kern w:val="0"/>
          <w:sz w:val="34"/>
          <w:szCs w:val="36"/>
        </w:rPr>
        <w:t>技術</w:t>
      </w:r>
      <w:r w:rsidR="00894C1E" w:rsidRPr="00A71FC2">
        <w:rPr>
          <w:rFonts w:hint="eastAsia"/>
          <w:bCs/>
          <w:noProof/>
          <w:kern w:val="0"/>
          <w:sz w:val="34"/>
          <w:szCs w:val="36"/>
        </w:rPr>
        <w:t>、</w:t>
      </w:r>
      <w:r w:rsidR="00465A98" w:rsidRPr="00A71FC2">
        <w:rPr>
          <w:rFonts w:hint="eastAsia"/>
          <w:bCs/>
          <w:noProof/>
          <w:kern w:val="0"/>
          <w:sz w:val="34"/>
          <w:szCs w:val="36"/>
        </w:rPr>
        <w:t>財務</w:t>
      </w:r>
      <w:r w:rsidR="00894C1E" w:rsidRPr="00A71FC2">
        <w:rPr>
          <w:rFonts w:hint="eastAsia"/>
          <w:bCs/>
          <w:noProof/>
          <w:kern w:val="0"/>
          <w:sz w:val="34"/>
          <w:szCs w:val="36"/>
        </w:rPr>
        <w:t>、</w:t>
      </w:r>
      <w:r w:rsidR="00465A98" w:rsidRPr="00A71FC2">
        <w:rPr>
          <w:rFonts w:hint="eastAsia"/>
          <w:bCs/>
          <w:noProof/>
          <w:kern w:val="0"/>
          <w:sz w:val="34"/>
          <w:szCs w:val="36"/>
        </w:rPr>
        <w:t>能力建構</w:t>
      </w:r>
      <w:r w:rsidR="00894C1E" w:rsidRPr="00A71FC2">
        <w:rPr>
          <w:rFonts w:hint="eastAsia"/>
          <w:bCs/>
          <w:noProof/>
          <w:kern w:val="0"/>
          <w:sz w:val="34"/>
          <w:szCs w:val="36"/>
        </w:rPr>
        <w:t>等</w:t>
      </w:r>
      <w:r w:rsidR="00465A98" w:rsidRPr="00A71FC2">
        <w:rPr>
          <w:rFonts w:hint="eastAsia"/>
          <w:bCs/>
          <w:noProof/>
          <w:kern w:val="0"/>
          <w:sz w:val="34"/>
          <w:szCs w:val="36"/>
        </w:rPr>
        <w:t>協助</w:t>
      </w:r>
      <w:r w:rsidR="003F460A" w:rsidRPr="00A71FC2">
        <w:rPr>
          <w:rFonts w:hint="eastAsia"/>
          <w:bCs/>
          <w:noProof/>
          <w:kern w:val="0"/>
          <w:sz w:val="34"/>
          <w:szCs w:val="36"/>
        </w:rPr>
        <w:t>。</w:t>
      </w:r>
    </w:p>
    <w:p w:rsidR="00251776" w:rsidRPr="00251776" w:rsidRDefault="00465A98" w:rsidP="00251776">
      <w:pPr>
        <w:pStyle w:val="af7"/>
        <w:numPr>
          <w:ilvl w:val="0"/>
          <w:numId w:val="18"/>
        </w:numPr>
        <w:spacing w:before="100" w:beforeAutospacing="1" w:after="100" w:afterAutospacing="1" w:line="360" w:lineRule="auto"/>
        <w:ind w:left="993" w:hanging="709"/>
        <w:rPr>
          <w:bCs/>
          <w:noProof/>
          <w:kern w:val="0"/>
          <w:sz w:val="34"/>
          <w:szCs w:val="36"/>
        </w:rPr>
      </w:pPr>
      <w:r w:rsidRPr="00465A98">
        <w:rPr>
          <w:rFonts w:hint="eastAsia"/>
          <w:bCs/>
          <w:noProof/>
          <w:kern w:val="0"/>
          <w:sz w:val="34"/>
          <w:szCs w:val="36"/>
        </w:rPr>
        <w:t>第三篇</w:t>
      </w:r>
      <w:r w:rsidR="00526BDF">
        <w:rPr>
          <w:rFonts w:hint="eastAsia"/>
          <w:bCs/>
          <w:noProof/>
          <w:kern w:val="0"/>
          <w:sz w:val="34"/>
          <w:szCs w:val="36"/>
        </w:rPr>
        <w:t>（</w:t>
      </w:r>
      <w:r w:rsidR="00B856FC">
        <w:rPr>
          <w:rFonts w:hint="eastAsia"/>
          <w:bCs/>
          <w:noProof/>
          <w:kern w:val="0"/>
          <w:sz w:val="34"/>
          <w:szCs w:val="36"/>
        </w:rPr>
        <w:t>第</w:t>
      </w:r>
      <w:r w:rsidR="00B856FC">
        <w:rPr>
          <w:rFonts w:hint="eastAsia"/>
          <w:bCs/>
          <w:noProof/>
          <w:kern w:val="0"/>
          <w:sz w:val="34"/>
          <w:szCs w:val="36"/>
        </w:rPr>
        <w:t>23</w:t>
      </w:r>
      <w:r w:rsidR="00B856FC">
        <w:rPr>
          <w:rFonts w:hint="eastAsia"/>
          <w:bCs/>
          <w:noProof/>
          <w:kern w:val="0"/>
          <w:sz w:val="34"/>
          <w:szCs w:val="36"/>
        </w:rPr>
        <w:t>、</w:t>
      </w:r>
      <w:r w:rsidR="00B856FC">
        <w:rPr>
          <w:rFonts w:hint="eastAsia"/>
          <w:bCs/>
          <w:noProof/>
          <w:kern w:val="0"/>
          <w:sz w:val="34"/>
          <w:szCs w:val="36"/>
        </w:rPr>
        <w:t>24</w:t>
      </w:r>
      <w:r w:rsidR="00A71FC2">
        <w:rPr>
          <w:rFonts w:hint="eastAsia"/>
          <w:bCs/>
          <w:noProof/>
          <w:kern w:val="0"/>
          <w:sz w:val="34"/>
          <w:szCs w:val="36"/>
        </w:rPr>
        <w:t>條</w:t>
      </w:r>
      <w:r w:rsidR="00526BDF">
        <w:rPr>
          <w:rFonts w:hint="eastAsia"/>
          <w:bCs/>
          <w:noProof/>
          <w:kern w:val="0"/>
          <w:sz w:val="34"/>
          <w:szCs w:val="36"/>
        </w:rPr>
        <w:t>）</w:t>
      </w:r>
      <w:r w:rsidR="00296701" w:rsidRPr="00EC23F6">
        <w:rPr>
          <w:rFonts w:hint="eastAsia"/>
          <w:sz w:val="34"/>
          <w:szCs w:val="36"/>
        </w:rPr>
        <w:t>：</w:t>
      </w:r>
      <w:r w:rsidR="00586A79">
        <w:rPr>
          <w:rFonts w:hint="eastAsia"/>
          <w:bCs/>
          <w:noProof/>
          <w:kern w:val="0"/>
          <w:sz w:val="34"/>
          <w:szCs w:val="36"/>
        </w:rPr>
        <w:t>主要規範</w:t>
      </w:r>
      <w:r w:rsidR="002D7042">
        <w:rPr>
          <w:rFonts w:hint="eastAsia"/>
          <w:bCs/>
          <w:noProof/>
          <w:kern w:val="0"/>
          <w:sz w:val="34"/>
          <w:szCs w:val="36"/>
        </w:rPr>
        <w:t>協定</w:t>
      </w:r>
      <w:r w:rsidR="00B856FC">
        <w:rPr>
          <w:rFonts w:hint="eastAsia"/>
          <w:bCs/>
          <w:noProof/>
          <w:kern w:val="0"/>
          <w:sz w:val="34"/>
          <w:szCs w:val="36"/>
        </w:rPr>
        <w:t>監督協調</w:t>
      </w:r>
      <w:r w:rsidRPr="00465A98">
        <w:rPr>
          <w:rFonts w:hint="eastAsia"/>
          <w:bCs/>
          <w:noProof/>
          <w:kern w:val="0"/>
          <w:sz w:val="34"/>
          <w:szCs w:val="36"/>
        </w:rPr>
        <w:t>機</w:t>
      </w:r>
      <w:r w:rsidR="00B856FC">
        <w:rPr>
          <w:rFonts w:hint="eastAsia"/>
          <w:bCs/>
          <w:noProof/>
          <w:kern w:val="0"/>
          <w:sz w:val="34"/>
          <w:szCs w:val="36"/>
        </w:rPr>
        <w:t>制</w:t>
      </w:r>
      <w:r w:rsidRPr="00465A98">
        <w:rPr>
          <w:rFonts w:hint="eastAsia"/>
          <w:bCs/>
          <w:noProof/>
          <w:kern w:val="0"/>
          <w:sz w:val="34"/>
          <w:szCs w:val="36"/>
        </w:rPr>
        <w:t>及最</w:t>
      </w:r>
      <w:r w:rsidR="00707831" w:rsidRPr="00465A98">
        <w:rPr>
          <w:rFonts w:hint="eastAsia"/>
          <w:bCs/>
          <w:noProof/>
          <w:kern w:val="0"/>
          <w:sz w:val="34"/>
          <w:szCs w:val="36"/>
        </w:rPr>
        <w:t>終條款</w:t>
      </w:r>
      <w:r w:rsidR="0045633F">
        <w:rPr>
          <w:rFonts w:hint="eastAsia"/>
          <w:bCs/>
          <w:noProof/>
          <w:kern w:val="0"/>
          <w:sz w:val="34"/>
          <w:szCs w:val="36"/>
        </w:rPr>
        <w:t>，如</w:t>
      </w:r>
      <w:r w:rsidR="0045633F" w:rsidRPr="0045633F">
        <w:rPr>
          <w:rFonts w:hint="eastAsia"/>
          <w:bCs/>
          <w:noProof/>
          <w:kern w:val="0"/>
          <w:sz w:val="34"/>
          <w:szCs w:val="36"/>
        </w:rPr>
        <w:t>設立貿易便捷化委員會（</w:t>
      </w:r>
      <w:r w:rsidR="0045633F" w:rsidRPr="0045633F">
        <w:rPr>
          <w:bCs/>
          <w:noProof/>
          <w:kern w:val="0"/>
          <w:sz w:val="34"/>
          <w:szCs w:val="36"/>
        </w:rPr>
        <w:t>Committee on Trade Facilitation</w:t>
      </w:r>
      <w:r w:rsidR="0045633F" w:rsidRPr="0045633F">
        <w:rPr>
          <w:rFonts w:hint="eastAsia"/>
          <w:bCs/>
          <w:noProof/>
          <w:kern w:val="0"/>
          <w:sz w:val="34"/>
          <w:szCs w:val="36"/>
        </w:rPr>
        <w:t>）、設立貿易便捷化國家委員會（</w:t>
      </w:r>
      <w:r w:rsidR="0045633F" w:rsidRPr="0045633F">
        <w:rPr>
          <w:bCs/>
          <w:noProof/>
          <w:kern w:val="0"/>
          <w:sz w:val="34"/>
          <w:szCs w:val="36"/>
        </w:rPr>
        <w:t>National Committee on Trade Facilitation</w:t>
      </w:r>
      <w:r w:rsidR="0045633F" w:rsidRPr="0045633F">
        <w:rPr>
          <w:rFonts w:hint="eastAsia"/>
          <w:bCs/>
          <w:noProof/>
          <w:kern w:val="0"/>
          <w:sz w:val="34"/>
          <w:szCs w:val="36"/>
        </w:rPr>
        <w:t>）。</w:t>
      </w:r>
    </w:p>
    <w:p w:rsidR="00EC23F6" w:rsidRPr="00251776" w:rsidRDefault="009C4C39" w:rsidP="00251776">
      <w:pPr>
        <w:pStyle w:val="af6"/>
        <w:numPr>
          <w:ilvl w:val="0"/>
          <w:numId w:val="6"/>
        </w:numPr>
        <w:wordWrap/>
        <w:spacing w:beforeLines="100" w:before="360" w:after="100" w:afterAutospacing="1" w:line="360" w:lineRule="auto"/>
        <w:rPr>
          <w:b/>
          <w:sz w:val="34"/>
          <w:szCs w:val="34"/>
        </w:rPr>
      </w:pPr>
      <w:r>
        <w:rPr>
          <w:rFonts w:hint="eastAsia"/>
          <w:b/>
          <w:sz w:val="34"/>
          <w:szCs w:val="34"/>
        </w:rPr>
        <w:t>貿易便捷化協定生效之時間表</w:t>
      </w:r>
    </w:p>
    <w:p w:rsidR="00EC23F6" w:rsidRPr="00EC23F6" w:rsidRDefault="00EC23F6" w:rsidP="00251776">
      <w:pPr>
        <w:pStyle w:val="af6"/>
        <w:wordWrap/>
        <w:spacing w:before="100" w:beforeAutospacing="1" w:after="100" w:afterAutospacing="1" w:line="360" w:lineRule="auto"/>
        <w:rPr>
          <w:sz w:val="34"/>
          <w:szCs w:val="34"/>
        </w:rPr>
      </w:pPr>
      <w:r>
        <w:rPr>
          <w:rFonts w:hint="eastAsia"/>
          <w:sz w:val="34"/>
          <w:szCs w:val="34"/>
        </w:rPr>
        <w:t xml:space="preserve">    </w:t>
      </w:r>
      <w:r w:rsidR="003C734C" w:rsidRPr="00EC23F6">
        <w:rPr>
          <w:rFonts w:hint="eastAsia"/>
          <w:sz w:val="34"/>
          <w:szCs w:val="34"/>
        </w:rPr>
        <w:t>貿易便捷化協定之修正議定書獲得</w:t>
      </w:r>
      <w:r w:rsidR="003C734C" w:rsidRPr="00EC23F6">
        <w:rPr>
          <w:rFonts w:hint="eastAsia"/>
          <w:sz w:val="34"/>
          <w:szCs w:val="34"/>
        </w:rPr>
        <w:t>WTO</w:t>
      </w:r>
      <w:r w:rsidR="003C734C" w:rsidRPr="00EC23F6">
        <w:rPr>
          <w:rFonts w:hint="eastAsia"/>
          <w:sz w:val="34"/>
          <w:szCs w:val="34"/>
        </w:rPr>
        <w:t>總理事會通過後，將由</w:t>
      </w:r>
      <w:r w:rsidR="00C77587">
        <w:rPr>
          <w:rFonts w:hint="eastAsia"/>
          <w:sz w:val="34"/>
          <w:szCs w:val="34"/>
        </w:rPr>
        <w:t>會員進行國內批准程序，並</w:t>
      </w:r>
      <w:r w:rsidR="00150053">
        <w:rPr>
          <w:rFonts w:hint="eastAsia"/>
          <w:sz w:val="34"/>
          <w:szCs w:val="34"/>
        </w:rPr>
        <w:t>於獲得三分之二</w:t>
      </w:r>
      <w:r w:rsidR="004B2FFC">
        <w:rPr>
          <w:rFonts w:hint="eastAsia"/>
          <w:sz w:val="34"/>
          <w:szCs w:val="34"/>
        </w:rPr>
        <w:t>會員批</w:t>
      </w:r>
      <w:r w:rsidR="004B2FFC" w:rsidRPr="00150053">
        <w:rPr>
          <w:rFonts w:hint="eastAsia"/>
          <w:sz w:val="34"/>
          <w:szCs w:val="34"/>
        </w:rPr>
        <w:t>准</w:t>
      </w:r>
      <w:r w:rsidR="00150053" w:rsidRPr="00150053">
        <w:rPr>
          <w:rFonts w:hint="eastAsia"/>
          <w:sz w:val="34"/>
          <w:szCs w:val="34"/>
        </w:rPr>
        <w:t>並存放後之第</w:t>
      </w:r>
      <w:r w:rsidR="00150053" w:rsidRPr="00150053">
        <w:rPr>
          <w:rFonts w:hint="eastAsia"/>
          <w:sz w:val="34"/>
          <w:szCs w:val="34"/>
        </w:rPr>
        <w:t>30</w:t>
      </w:r>
      <w:r w:rsidR="00150053" w:rsidRPr="00150053">
        <w:rPr>
          <w:rFonts w:hint="eastAsia"/>
          <w:sz w:val="34"/>
          <w:szCs w:val="34"/>
        </w:rPr>
        <w:t>日起，即對完成存放之簽署會員生效</w:t>
      </w:r>
      <w:r w:rsidR="007E60FC" w:rsidRPr="00150053">
        <w:rPr>
          <w:rFonts w:hint="eastAsia"/>
          <w:sz w:val="34"/>
          <w:szCs w:val="34"/>
        </w:rPr>
        <w:t>。</w:t>
      </w:r>
    </w:p>
    <w:p w:rsidR="007E60FC" w:rsidRPr="00E90A1C" w:rsidRDefault="00E90A1C" w:rsidP="00251776">
      <w:pPr>
        <w:pStyle w:val="af6"/>
        <w:wordWrap/>
        <w:spacing w:before="100" w:beforeAutospacing="1" w:after="100" w:afterAutospacing="1" w:line="360" w:lineRule="auto"/>
        <w:rPr>
          <w:sz w:val="34"/>
          <w:szCs w:val="36"/>
        </w:rPr>
      </w:pPr>
      <w:r>
        <w:rPr>
          <w:rFonts w:hint="eastAsia"/>
          <w:sz w:val="34"/>
          <w:szCs w:val="36"/>
        </w:rPr>
        <w:t xml:space="preserve">    </w:t>
      </w:r>
      <w:r w:rsidR="008E68C8" w:rsidRPr="00E90A1C">
        <w:rPr>
          <w:rFonts w:hint="eastAsia"/>
          <w:sz w:val="34"/>
          <w:szCs w:val="36"/>
        </w:rPr>
        <w:t>我國在貿易便捷化的表現</w:t>
      </w:r>
      <w:r w:rsidR="004D69A2">
        <w:rPr>
          <w:rFonts w:hint="eastAsia"/>
          <w:sz w:val="34"/>
          <w:szCs w:val="36"/>
        </w:rPr>
        <w:t>及</w:t>
      </w:r>
      <w:r w:rsidR="008C0E73">
        <w:rPr>
          <w:rFonts w:hint="eastAsia"/>
          <w:sz w:val="34"/>
          <w:szCs w:val="36"/>
        </w:rPr>
        <w:t>通關效率在國際上已</w:t>
      </w:r>
      <w:r w:rsidR="008E68C8" w:rsidRPr="00E90A1C">
        <w:rPr>
          <w:rFonts w:hint="eastAsia"/>
          <w:sz w:val="34"/>
          <w:szCs w:val="36"/>
        </w:rPr>
        <w:t>具備先進國家水準。</w:t>
      </w:r>
      <w:r w:rsidR="00FF15C9" w:rsidRPr="00E90A1C">
        <w:rPr>
          <w:rFonts w:hint="eastAsia"/>
          <w:sz w:val="34"/>
          <w:szCs w:val="36"/>
        </w:rPr>
        <w:t>關於</w:t>
      </w:r>
      <w:r w:rsidR="00A71FC2" w:rsidRPr="00E90A1C">
        <w:rPr>
          <w:rFonts w:hint="eastAsia"/>
          <w:sz w:val="34"/>
          <w:szCs w:val="36"/>
        </w:rPr>
        <w:t>貿易便捷化</w:t>
      </w:r>
      <w:r w:rsidR="00FF15C9" w:rsidRPr="00E90A1C">
        <w:rPr>
          <w:rFonts w:hint="eastAsia"/>
          <w:sz w:val="34"/>
          <w:szCs w:val="36"/>
        </w:rPr>
        <w:t>協定之義務，</w:t>
      </w:r>
      <w:r w:rsidR="00BA2CCC" w:rsidRPr="00E90A1C">
        <w:rPr>
          <w:rFonts w:hint="eastAsia"/>
          <w:sz w:val="34"/>
          <w:szCs w:val="36"/>
        </w:rPr>
        <w:t>財政部等貨品輸出入規定主管機關</w:t>
      </w:r>
      <w:r w:rsidR="008C0E73">
        <w:rPr>
          <w:rFonts w:hint="eastAsia"/>
          <w:sz w:val="34"/>
          <w:szCs w:val="36"/>
        </w:rPr>
        <w:t>業</w:t>
      </w:r>
      <w:r w:rsidR="00BA2CCC" w:rsidRPr="00E90A1C">
        <w:rPr>
          <w:rFonts w:hint="eastAsia"/>
          <w:sz w:val="34"/>
          <w:szCs w:val="36"/>
        </w:rPr>
        <w:t>檢視</w:t>
      </w:r>
      <w:r w:rsidR="008C0E73">
        <w:rPr>
          <w:rFonts w:hint="eastAsia"/>
          <w:sz w:val="34"/>
          <w:szCs w:val="36"/>
        </w:rPr>
        <w:t>並確認協定生效後立即實施沒有困難</w:t>
      </w:r>
      <w:r w:rsidR="00BA2CCC" w:rsidRPr="00E90A1C">
        <w:rPr>
          <w:rFonts w:hint="eastAsia"/>
          <w:sz w:val="34"/>
          <w:szCs w:val="36"/>
        </w:rPr>
        <w:t>。</w:t>
      </w:r>
    </w:p>
    <w:p w:rsidR="006929C6" w:rsidRPr="00827689" w:rsidRDefault="002B1EB3" w:rsidP="00251776">
      <w:pPr>
        <w:pStyle w:val="af6"/>
        <w:numPr>
          <w:ilvl w:val="0"/>
          <w:numId w:val="6"/>
        </w:numPr>
        <w:wordWrap/>
        <w:spacing w:beforeLines="100" w:before="360" w:after="100" w:afterAutospacing="1" w:line="360" w:lineRule="auto"/>
        <w:rPr>
          <w:b/>
          <w:sz w:val="34"/>
          <w:szCs w:val="34"/>
        </w:rPr>
      </w:pPr>
      <w:r>
        <w:rPr>
          <w:rFonts w:hint="eastAsia"/>
          <w:b/>
          <w:sz w:val="34"/>
          <w:szCs w:val="34"/>
        </w:rPr>
        <w:t>結語</w:t>
      </w:r>
    </w:p>
    <w:p w:rsidR="001163E4" w:rsidRPr="001163E4" w:rsidRDefault="005B4945" w:rsidP="00251776">
      <w:pPr>
        <w:pStyle w:val="af6"/>
        <w:wordWrap/>
        <w:spacing w:before="100" w:beforeAutospacing="1" w:after="100" w:afterAutospacing="1" w:line="360" w:lineRule="auto"/>
        <w:ind w:firstLineChars="200" w:firstLine="680"/>
        <w:rPr>
          <w:sz w:val="34"/>
          <w:szCs w:val="34"/>
        </w:rPr>
      </w:pPr>
      <w:r w:rsidRPr="00827689">
        <w:rPr>
          <w:rFonts w:hint="eastAsia"/>
          <w:sz w:val="34"/>
          <w:szCs w:val="34"/>
        </w:rPr>
        <w:t>貿易便捷化協定</w:t>
      </w:r>
      <w:r w:rsidR="000B2B28">
        <w:rPr>
          <w:rFonts w:hint="eastAsia"/>
          <w:sz w:val="34"/>
          <w:szCs w:val="34"/>
        </w:rPr>
        <w:t>是</w:t>
      </w:r>
      <w:r w:rsidR="000B2B28" w:rsidRPr="00827689">
        <w:rPr>
          <w:rFonts w:hint="eastAsia"/>
          <w:sz w:val="34"/>
          <w:szCs w:val="34"/>
        </w:rPr>
        <w:t>所有</w:t>
      </w:r>
      <w:r w:rsidR="000B2B28" w:rsidRPr="00827689">
        <w:rPr>
          <w:rFonts w:hint="eastAsia"/>
          <w:sz w:val="34"/>
          <w:szCs w:val="34"/>
        </w:rPr>
        <w:t>WTO</w:t>
      </w:r>
      <w:r w:rsidR="00E21C79">
        <w:rPr>
          <w:rFonts w:hint="eastAsia"/>
          <w:sz w:val="34"/>
          <w:szCs w:val="34"/>
        </w:rPr>
        <w:t>會員</w:t>
      </w:r>
      <w:r w:rsidR="000B2B28" w:rsidRPr="00827689">
        <w:rPr>
          <w:rFonts w:hint="eastAsia"/>
          <w:sz w:val="34"/>
          <w:szCs w:val="34"/>
        </w:rPr>
        <w:t>歷</w:t>
      </w:r>
      <w:r w:rsidR="000B2B28">
        <w:rPr>
          <w:rFonts w:hint="eastAsia"/>
          <w:sz w:val="34"/>
          <w:szCs w:val="34"/>
        </w:rPr>
        <w:t>數年之先期蘊釀及近</w:t>
      </w:r>
      <w:r w:rsidR="000B2B28" w:rsidRPr="00827689">
        <w:rPr>
          <w:rFonts w:hint="eastAsia"/>
          <w:sz w:val="34"/>
          <w:szCs w:val="34"/>
        </w:rPr>
        <w:t>10</w:t>
      </w:r>
      <w:r w:rsidR="000B2B28" w:rsidRPr="00827689">
        <w:rPr>
          <w:rFonts w:hint="eastAsia"/>
          <w:sz w:val="34"/>
          <w:szCs w:val="34"/>
        </w:rPr>
        <w:t>年</w:t>
      </w:r>
      <w:r w:rsidR="000B2B28">
        <w:rPr>
          <w:rFonts w:hint="eastAsia"/>
          <w:sz w:val="34"/>
          <w:szCs w:val="34"/>
        </w:rPr>
        <w:t>之談判所共</w:t>
      </w:r>
      <w:r w:rsidR="000B2B28" w:rsidRPr="00827689">
        <w:rPr>
          <w:rFonts w:hint="eastAsia"/>
          <w:sz w:val="34"/>
          <w:szCs w:val="34"/>
        </w:rPr>
        <w:t>同完成，</w:t>
      </w:r>
      <w:r w:rsidR="008518A8" w:rsidRPr="00827689">
        <w:rPr>
          <w:rFonts w:hint="eastAsia"/>
          <w:sz w:val="34"/>
          <w:szCs w:val="34"/>
        </w:rPr>
        <w:t>為</w:t>
      </w:r>
      <w:r w:rsidR="00C67849">
        <w:rPr>
          <w:rFonts w:hint="eastAsia"/>
          <w:sz w:val="34"/>
          <w:szCs w:val="34"/>
        </w:rPr>
        <w:t>杜哈</w:t>
      </w:r>
      <w:r w:rsidR="00FF15C9">
        <w:rPr>
          <w:rFonts w:hint="eastAsia"/>
          <w:sz w:val="34"/>
          <w:szCs w:val="34"/>
        </w:rPr>
        <w:t>回合</w:t>
      </w:r>
      <w:r w:rsidR="00C67849">
        <w:rPr>
          <w:rFonts w:hint="eastAsia"/>
          <w:sz w:val="34"/>
          <w:szCs w:val="34"/>
        </w:rPr>
        <w:t>談判第一個</w:t>
      </w:r>
      <w:r w:rsidR="008518A8" w:rsidRPr="00827689">
        <w:rPr>
          <w:rFonts w:hint="eastAsia"/>
          <w:sz w:val="34"/>
          <w:szCs w:val="34"/>
        </w:rPr>
        <w:t>通過之多邊貿易協定，</w:t>
      </w:r>
      <w:r w:rsidR="000B2B28">
        <w:rPr>
          <w:rFonts w:hint="eastAsia"/>
          <w:sz w:val="34"/>
          <w:szCs w:val="34"/>
        </w:rPr>
        <w:t>它不僅</w:t>
      </w:r>
      <w:r w:rsidR="000B2B28" w:rsidRPr="00063B02">
        <w:rPr>
          <w:rFonts w:hint="eastAsia"/>
          <w:sz w:val="34"/>
          <w:szCs w:val="34"/>
        </w:rPr>
        <w:t>恢復會員對多邊貿易體制之信心，</w:t>
      </w:r>
      <w:r w:rsidR="000B2B28">
        <w:rPr>
          <w:rFonts w:hint="eastAsia"/>
          <w:sz w:val="34"/>
          <w:szCs w:val="34"/>
        </w:rPr>
        <w:t>亦</w:t>
      </w:r>
      <w:r w:rsidR="000B2B28" w:rsidRPr="00063B02">
        <w:rPr>
          <w:rFonts w:hint="eastAsia"/>
          <w:sz w:val="34"/>
          <w:szCs w:val="34"/>
        </w:rPr>
        <w:t>為</w:t>
      </w:r>
      <w:r w:rsidR="000B2B28">
        <w:rPr>
          <w:rFonts w:hint="eastAsia"/>
          <w:sz w:val="34"/>
          <w:szCs w:val="34"/>
        </w:rPr>
        <w:lastRenderedPageBreak/>
        <w:t>WTO</w:t>
      </w:r>
      <w:r w:rsidR="004D0BCB">
        <w:rPr>
          <w:rFonts w:hint="eastAsia"/>
          <w:sz w:val="34"/>
          <w:szCs w:val="34"/>
        </w:rPr>
        <w:t>「後峇里工作計畫」之推動挹注動能</w:t>
      </w:r>
      <w:r w:rsidR="00132409">
        <w:rPr>
          <w:rFonts w:hint="eastAsia"/>
          <w:sz w:val="34"/>
          <w:szCs w:val="34"/>
        </w:rPr>
        <w:t>，</w:t>
      </w:r>
      <w:r w:rsidR="00132409" w:rsidRPr="00132409">
        <w:rPr>
          <w:rFonts w:hint="eastAsia"/>
          <w:sz w:val="34"/>
          <w:szCs w:val="34"/>
        </w:rPr>
        <w:t>有助我深化參與國際經濟整合</w:t>
      </w:r>
      <w:r w:rsidR="004D0BCB">
        <w:rPr>
          <w:rFonts w:hint="eastAsia"/>
          <w:sz w:val="34"/>
          <w:szCs w:val="34"/>
        </w:rPr>
        <w:t>；</w:t>
      </w:r>
      <w:r w:rsidR="000B2B28">
        <w:rPr>
          <w:rFonts w:hint="eastAsia"/>
          <w:sz w:val="34"/>
          <w:szCs w:val="34"/>
        </w:rPr>
        <w:t>我國亦能</w:t>
      </w:r>
      <w:r w:rsidR="00745549">
        <w:rPr>
          <w:rFonts w:hint="eastAsia"/>
          <w:sz w:val="34"/>
          <w:szCs w:val="34"/>
        </w:rPr>
        <w:t>藉以</w:t>
      </w:r>
      <w:r w:rsidR="000B2B28">
        <w:rPr>
          <w:rFonts w:hint="eastAsia"/>
          <w:sz w:val="34"/>
          <w:szCs w:val="34"/>
        </w:rPr>
        <w:t>爭取</w:t>
      </w:r>
      <w:r w:rsidR="00745549">
        <w:rPr>
          <w:rFonts w:hint="eastAsia"/>
          <w:sz w:val="34"/>
          <w:szCs w:val="34"/>
        </w:rPr>
        <w:t>營造</w:t>
      </w:r>
      <w:r w:rsidR="000B2B28">
        <w:rPr>
          <w:rFonts w:hint="eastAsia"/>
          <w:sz w:val="34"/>
          <w:szCs w:val="34"/>
        </w:rPr>
        <w:t>對我業者有利之</w:t>
      </w:r>
      <w:r w:rsidR="00745549">
        <w:rPr>
          <w:rFonts w:hint="eastAsia"/>
          <w:sz w:val="34"/>
          <w:szCs w:val="34"/>
        </w:rPr>
        <w:t>國際</w:t>
      </w:r>
      <w:r w:rsidR="001163E4">
        <w:rPr>
          <w:rFonts w:hint="eastAsia"/>
          <w:sz w:val="34"/>
          <w:szCs w:val="34"/>
        </w:rPr>
        <w:t>經貿環境，</w:t>
      </w:r>
      <w:r w:rsidR="00C018A8">
        <w:rPr>
          <w:rFonts w:hint="eastAsia"/>
          <w:sz w:val="34"/>
          <w:szCs w:val="34"/>
        </w:rPr>
        <w:t>尤其</w:t>
      </w:r>
      <w:r w:rsidR="003930F7">
        <w:rPr>
          <w:rFonts w:hint="eastAsia"/>
          <w:sz w:val="34"/>
          <w:szCs w:val="34"/>
        </w:rPr>
        <w:t>我主要出口市場</w:t>
      </w:r>
      <w:r w:rsidR="001163E4">
        <w:rPr>
          <w:rFonts w:hint="eastAsia"/>
          <w:sz w:val="34"/>
          <w:szCs w:val="34"/>
        </w:rPr>
        <w:t>中國大陸、東南亞國協</w:t>
      </w:r>
      <w:r w:rsidR="00526BDF">
        <w:rPr>
          <w:rFonts w:hint="eastAsia"/>
          <w:sz w:val="34"/>
          <w:szCs w:val="34"/>
        </w:rPr>
        <w:t>（</w:t>
      </w:r>
      <w:r w:rsidR="001163E4">
        <w:rPr>
          <w:rFonts w:hint="eastAsia"/>
          <w:sz w:val="34"/>
          <w:szCs w:val="34"/>
        </w:rPr>
        <w:t>ASEAN</w:t>
      </w:r>
      <w:r w:rsidR="00526BDF">
        <w:rPr>
          <w:rFonts w:hint="eastAsia"/>
          <w:sz w:val="34"/>
          <w:szCs w:val="34"/>
        </w:rPr>
        <w:t>）</w:t>
      </w:r>
      <w:r w:rsidR="00C018A8">
        <w:rPr>
          <w:rFonts w:hint="eastAsia"/>
          <w:sz w:val="34"/>
          <w:szCs w:val="34"/>
        </w:rPr>
        <w:t>國家等，其</w:t>
      </w:r>
      <w:r w:rsidR="001163E4">
        <w:rPr>
          <w:rFonts w:hint="eastAsia"/>
          <w:sz w:val="34"/>
          <w:szCs w:val="34"/>
        </w:rPr>
        <w:t>進口通關程序較繁複、法規資訊亦</w:t>
      </w:r>
      <w:r w:rsidR="002778DE">
        <w:rPr>
          <w:rFonts w:hint="eastAsia"/>
          <w:sz w:val="34"/>
          <w:szCs w:val="34"/>
        </w:rPr>
        <w:t>相對</w:t>
      </w:r>
      <w:r w:rsidR="00E21C79">
        <w:rPr>
          <w:rFonts w:hint="eastAsia"/>
          <w:sz w:val="34"/>
          <w:szCs w:val="34"/>
        </w:rPr>
        <w:t>不足</w:t>
      </w:r>
      <w:r w:rsidR="001163E4">
        <w:rPr>
          <w:rFonts w:hint="eastAsia"/>
          <w:sz w:val="34"/>
          <w:szCs w:val="34"/>
        </w:rPr>
        <w:t>等，透過貿易便捷化協定之規範要求改善，</w:t>
      </w:r>
      <w:r w:rsidR="001163E4" w:rsidRPr="00827689">
        <w:rPr>
          <w:rFonts w:hint="eastAsia"/>
          <w:sz w:val="34"/>
          <w:szCs w:val="34"/>
        </w:rPr>
        <w:t>對於</w:t>
      </w:r>
      <w:r w:rsidR="001163E4">
        <w:rPr>
          <w:rFonts w:hint="eastAsia"/>
          <w:sz w:val="34"/>
          <w:szCs w:val="34"/>
        </w:rPr>
        <w:t>提升我國</w:t>
      </w:r>
      <w:r w:rsidR="001163E4" w:rsidRPr="00827689">
        <w:rPr>
          <w:rFonts w:hint="eastAsia"/>
          <w:sz w:val="34"/>
          <w:szCs w:val="34"/>
        </w:rPr>
        <w:t>出口</w:t>
      </w:r>
      <w:r w:rsidR="001163E4">
        <w:rPr>
          <w:rFonts w:hint="eastAsia"/>
          <w:sz w:val="34"/>
          <w:szCs w:val="34"/>
        </w:rPr>
        <w:t>至該等國家</w:t>
      </w:r>
      <w:r w:rsidR="001163E4" w:rsidRPr="00827689">
        <w:rPr>
          <w:rFonts w:hint="eastAsia"/>
          <w:sz w:val="34"/>
          <w:szCs w:val="34"/>
        </w:rPr>
        <w:t>具明顯助益。</w:t>
      </w:r>
    </w:p>
    <w:p w:rsidR="006929C6" w:rsidRPr="00827689" w:rsidRDefault="006929C6" w:rsidP="00251776">
      <w:pPr>
        <w:pStyle w:val="af6"/>
        <w:wordWrap/>
        <w:spacing w:before="100" w:beforeAutospacing="1" w:after="100" w:afterAutospacing="1" w:line="360" w:lineRule="auto"/>
        <w:ind w:left="142" w:firstLineChars="196" w:firstLine="666"/>
        <w:rPr>
          <w:sz w:val="34"/>
          <w:szCs w:val="34"/>
        </w:rPr>
      </w:pPr>
    </w:p>
    <w:sectPr w:rsidR="006929C6" w:rsidRPr="00827689" w:rsidSect="006324D6">
      <w:footerReference w:type="default" r:id="rId9"/>
      <w:footerReference w:type="first" r:id="rId10"/>
      <w:pgSz w:w="11907" w:h="16840" w:code="9"/>
      <w:pgMar w:top="1418" w:right="1418" w:bottom="1418" w:left="1418" w:header="851" w:footer="992" w:gutter="0"/>
      <w:pgNumType w:start="1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3723" w:rsidRDefault="000A3723">
      <w:r>
        <w:separator/>
      </w:r>
    </w:p>
  </w:endnote>
  <w:endnote w:type="continuationSeparator" w:id="0">
    <w:p w:rsidR="000A3723" w:rsidRDefault="000A37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4D6" w:rsidRDefault="006324D6">
    <w:pPr>
      <w:pStyle w:val="ab"/>
      <w:jc w:val="center"/>
    </w:pPr>
    <w:r>
      <w:fldChar w:fldCharType="begin"/>
    </w:r>
    <w:r>
      <w:instrText>PAGE   \* MERGEFORMAT</w:instrText>
    </w:r>
    <w:r>
      <w:fldChar w:fldCharType="separate"/>
    </w:r>
    <w:r w:rsidR="00C832AC" w:rsidRPr="00C832AC">
      <w:rPr>
        <w:noProof/>
        <w:lang w:val="zh-TW"/>
      </w:rPr>
      <w:t>4</w:t>
    </w:r>
    <w:r>
      <w:fldChar w:fldCharType="end"/>
    </w:r>
  </w:p>
  <w:p w:rsidR="006324D6" w:rsidRDefault="006324D6">
    <w:pPr>
      <w:pStyle w:val="ab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4D6" w:rsidRDefault="006324D6">
    <w:pPr>
      <w:pStyle w:val="ab"/>
      <w:jc w:val="center"/>
    </w:pPr>
    <w:r>
      <w:fldChar w:fldCharType="begin"/>
    </w:r>
    <w:r>
      <w:instrText>PAGE   \* MERGEFORMAT</w:instrText>
    </w:r>
    <w:r>
      <w:fldChar w:fldCharType="separate"/>
    </w:r>
    <w:r w:rsidR="00C832AC" w:rsidRPr="00C832AC">
      <w:rPr>
        <w:noProof/>
        <w:lang w:val="zh-TW"/>
      </w:rPr>
      <w:t>1</w:t>
    </w:r>
    <w:r>
      <w:fldChar w:fldCharType="end"/>
    </w:r>
  </w:p>
  <w:p w:rsidR="006324D6" w:rsidRDefault="006324D6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3723" w:rsidRDefault="000A3723">
      <w:r>
        <w:separator/>
      </w:r>
    </w:p>
  </w:footnote>
  <w:footnote w:type="continuationSeparator" w:id="0">
    <w:p w:rsidR="000A3723" w:rsidRDefault="000A37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F5DEF"/>
    <w:multiLevelType w:val="hybridMultilevel"/>
    <w:tmpl w:val="E460EE0A"/>
    <w:lvl w:ilvl="0" w:tplc="A13E4C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新細明體" w:hAnsi="新細明體" w:hint="default"/>
      </w:rPr>
    </w:lvl>
    <w:lvl w:ilvl="1" w:tplc="0C7665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新細明體" w:hAnsi="新細明體" w:hint="default"/>
      </w:rPr>
    </w:lvl>
    <w:lvl w:ilvl="2" w:tplc="38C66A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新細明體" w:hAnsi="新細明體" w:hint="default"/>
      </w:rPr>
    </w:lvl>
    <w:lvl w:ilvl="3" w:tplc="AB6012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新細明體" w:hAnsi="新細明體" w:hint="default"/>
      </w:rPr>
    </w:lvl>
    <w:lvl w:ilvl="4" w:tplc="E32A41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新細明體" w:hAnsi="新細明體" w:hint="default"/>
      </w:rPr>
    </w:lvl>
    <w:lvl w:ilvl="5" w:tplc="E654BE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新細明體" w:hAnsi="新細明體" w:hint="default"/>
      </w:rPr>
    </w:lvl>
    <w:lvl w:ilvl="6" w:tplc="A15E39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新細明體" w:hAnsi="新細明體" w:hint="default"/>
      </w:rPr>
    </w:lvl>
    <w:lvl w:ilvl="7" w:tplc="D6D67A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新細明體" w:hAnsi="新細明體" w:hint="default"/>
      </w:rPr>
    </w:lvl>
    <w:lvl w:ilvl="8" w:tplc="A33CCB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新細明體" w:hAnsi="新細明體" w:hint="default"/>
      </w:rPr>
    </w:lvl>
  </w:abstractNum>
  <w:abstractNum w:abstractNumId="1">
    <w:nsid w:val="04376682"/>
    <w:multiLevelType w:val="hybridMultilevel"/>
    <w:tmpl w:val="C1986CAC"/>
    <w:lvl w:ilvl="0" w:tplc="91F261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8280C2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A2451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E4A7B5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97A53B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64840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EEA51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4F279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1947A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0A2D1445"/>
    <w:multiLevelType w:val="hybridMultilevel"/>
    <w:tmpl w:val="7C60152C"/>
    <w:lvl w:ilvl="0" w:tplc="B6A0B6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新細明體" w:hAnsi="新細明體" w:hint="default"/>
      </w:rPr>
    </w:lvl>
    <w:lvl w:ilvl="1" w:tplc="41B072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新細明體" w:hAnsi="新細明體" w:hint="default"/>
      </w:rPr>
    </w:lvl>
    <w:lvl w:ilvl="2" w:tplc="7F88ED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新細明體" w:hAnsi="新細明體" w:hint="default"/>
      </w:rPr>
    </w:lvl>
    <w:lvl w:ilvl="3" w:tplc="CE4256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新細明體" w:hAnsi="新細明體" w:hint="default"/>
      </w:rPr>
    </w:lvl>
    <w:lvl w:ilvl="4" w:tplc="8DC8B8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新細明體" w:hAnsi="新細明體" w:hint="default"/>
      </w:rPr>
    </w:lvl>
    <w:lvl w:ilvl="5" w:tplc="BA3E5A7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新細明體" w:hAnsi="新細明體" w:hint="default"/>
      </w:rPr>
    </w:lvl>
    <w:lvl w:ilvl="6" w:tplc="823C979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新細明體" w:hAnsi="新細明體" w:hint="default"/>
      </w:rPr>
    </w:lvl>
    <w:lvl w:ilvl="7" w:tplc="F910965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新細明體" w:hAnsi="新細明體" w:hint="default"/>
      </w:rPr>
    </w:lvl>
    <w:lvl w:ilvl="8" w:tplc="EAF6837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新細明體" w:hAnsi="新細明體" w:hint="default"/>
      </w:rPr>
    </w:lvl>
  </w:abstractNum>
  <w:abstractNum w:abstractNumId="3">
    <w:nsid w:val="0A883E8D"/>
    <w:multiLevelType w:val="hybridMultilevel"/>
    <w:tmpl w:val="B762CF4C"/>
    <w:lvl w:ilvl="0" w:tplc="3BD48A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63C79C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6AEA12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DAA7E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6E8749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9E4BDF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23CFD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564E8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8AE0F3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BD6459E"/>
    <w:multiLevelType w:val="hybridMultilevel"/>
    <w:tmpl w:val="E1E82A7A"/>
    <w:lvl w:ilvl="0" w:tplc="24809322">
      <w:start w:val="4"/>
      <w:numFmt w:val="ideographLegalTraditional"/>
      <w:lvlText w:val="%1、"/>
      <w:lvlJc w:val="left"/>
      <w:pPr>
        <w:ind w:left="1032" w:hanging="720"/>
      </w:pPr>
      <w:rPr>
        <w:rFonts w:hint="eastAsia"/>
        <w:sz w:val="3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33284F0D"/>
    <w:multiLevelType w:val="hybridMultilevel"/>
    <w:tmpl w:val="C510AFCA"/>
    <w:lvl w:ilvl="0" w:tplc="E8EA196C">
      <w:start w:val="1"/>
      <w:numFmt w:val="taiwaneseCountingThousand"/>
      <w:lvlText w:val="%1、"/>
      <w:lvlJc w:val="left"/>
      <w:pPr>
        <w:ind w:left="1212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52" w:hanging="480"/>
      </w:pPr>
    </w:lvl>
    <w:lvl w:ilvl="2" w:tplc="0409001B" w:tentative="1">
      <w:start w:val="1"/>
      <w:numFmt w:val="lowerRoman"/>
      <w:lvlText w:val="%3."/>
      <w:lvlJc w:val="right"/>
      <w:pPr>
        <w:ind w:left="1932" w:hanging="480"/>
      </w:pPr>
    </w:lvl>
    <w:lvl w:ilvl="3" w:tplc="0409000F" w:tentative="1">
      <w:start w:val="1"/>
      <w:numFmt w:val="decimal"/>
      <w:lvlText w:val="%4."/>
      <w:lvlJc w:val="left"/>
      <w:pPr>
        <w:ind w:left="241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92" w:hanging="480"/>
      </w:pPr>
    </w:lvl>
    <w:lvl w:ilvl="5" w:tplc="0409001B" w:tentative="1">
      <w:start w:val="1"/>
      <w:numFmt w:val="lowerRoman"/>
      <w:lvlText w:val="%6."/>
      <w:lvlJc w:val="right"/>
      <w:pPr>
        <w:ind w:left="3372" w:hanging="480"/>
      </w:pPr>
    </w:lvl>
    <w:lvl w:ilvl="6" w:tplc="0409000F" w:tentative="1">
      <w:start w:val="1"/>
      <w:numFmt w:val="decimal"/>
      <w:lvlText w:val="%7."/>
      <w:lvlJc w:val="left"/>
      <w:pPr>
        <w:ind w:left="385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32" w:hanging="480"/>
      </w:pPr>
    </w:lvl>
    <w:lvl w:ilvl="8" w:tplc="0409001B" w:tentative="1">
      <w:start w:val="1"/>
      <w:numFmt w:val="lowerRoman"/>
      <w:lvlText w:val="%9."/>
      <w:lvlJc w:val="right"/>
      <w:pPr>
        <w:ind w:left="4812" w:hanging="480"/>
      </w:pPr>
    </w:lvl>
  </w:abstractNum>
  <w:abstractNum w:abstractNumId="6">
    <w:nsid w:val="347778C3"/>
    <w:multiLevelType w:val="hybridMultilevel"/>
    <w:tmpl w:val="600C0712"/>
    <w:lvl w:ilvl="0" w:tplc="A1F8416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新細明體" w:hAnsi="新細明體" w:hint="default"/>
      </w:rPr>
    </w:lvl>
    <w:lvl w:ilvl="1" w:tplc="7B9EBFC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新細明體" w:hAnsi="新細明體" w:hint="default"/>
      </w:rPr>
    </w:lvl>
    <w:lvl w:ilvl="2" w:tplc="E0D4CA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新細明體" w:hAnsi="新細明體" w:hint="default"/>
      </w:rPr>
    </w:lvl>
    <w:lvl w:ilvl="3" w:tplc="30FA5D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新細明體" w:hAnsi="新細明體" w:hint="default"/>
      </w:rPr>
    </w:lvl>
    <w:lvl w:ilvl="4" w:tplc="B80AF4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新細明體" w:hAnsi="新細明體" w:hint="default"/>
      </w:rPr>
    </w:lvl>
    <w:lvl w:ilvl="5" w:tplc="B9FEDA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新細明體" w:hAnsi="新細明體" w:hint="default"/>
      </w:rPr>
    </w:lvl>
    <w:lvl w:ilvl="6" w:tplc="DAFC72B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新細明體" w:hAnsi="新細明體" w:hint="default"/>
      </w:rPr>
    </w:lvl>
    <w:lvl w:ilvl="7" w:tplc="8B92F5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新細明體" w:hAnsi="新細明體" w:hint="default"/>
      </w:rPr>
    </w:lvl>
    <w:lvl w:ilvl="8" w:tplc="C27485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新細明體" w:hAnsi="新細明體" w:hint="default"/>
      </w:rPr>
    </w:lvl>
  </w:abstractNum>
  <w:abstractNum w:abstractNumId="7">
    <w:nsid w:val="35954D94"/>
    <w:multiLevelType w:val="hybridMultilevel"/>
    <w:tmpl w:val="33F6C172"/>
    <w:lvl w:ilvl="0" w:tplc="917016F6">
      <w:start w:val="1"/>
      <w:numFmt w:val="ideographLegalTraditional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>
    <w:nsid w:val="37050856"/>
    <w:multiLevelType w:val="hybridMultilevel"/>
    <w:tmpl w:val="D33AF608"/>
    <w:lvl w:ilvl="0" w:tplc="3E54A2E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84AC44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140D96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9E27BE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F5E511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4840C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24ED5B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5A2C5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37AB17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C4678DD"/>
    <w:multiLevelType w:val="hybridMultilevel"/>
    <w:tmpl w:val="09BA682C"/>
    <w:lvl w:ilvl="0" w:tplc="DF5C5E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新細明體" w:hAnsi="新細明體" w:hint="default"/>
      </w:rPr>
    </w:lvl>
    <w:lvl w:ilvl="1" w:tplc="E5F819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新細明體" w:hAnsi="新細明體" w:hint="default"/>
      </w:rPr>
    </w:lvl>
    <w:lvl w:ilvl="2" w:tplc="FDCAEA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新細明體" w:hAnsi="新細明體" w:hint="default"/>
      </w:rPr>
    </w:lvl>
    <w:lvl w:ilvl="3" w:tplc="563002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新細明體" w:hAnsi="新細明體" w:hint="default"/>
      </w:rPr>
    </w:lvl>
    <w:lvl w:ilvl="4" w:tplc="F1DC4C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新細明體" w:hAnsi="新細明體" w:hint="default"/>
      </w:rPr>
    </w:lvl>
    <w:lvl w:ilvl="5" w:tplc="A2D2D7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新細明體" w:hAnsi="新細明體" w:hint="default"/>
      </w:rPr>
    </w:lvl>
    <w:lvl w:ilvl="6" w:tplc="A36015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新細明體" w:hAnsi="新細明體" w:hint="default"/>
      </w:rPr>
    </w:lvl>
    <w:lvl w:ilvl="7" w:tplc="AA309C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新細明體" w:hAnsi="新細明體" w:hint="default"/>
      </w:rPr>
    </w:lvl>
    <w:lvl w:ilvl="8" w:tplc="29FC00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新細明體" w:hAnsi="新細明體" w:hint="default"/>
      </w:rPr>
    </w:lvl>
  </w:abstractNum>
  <w:abstractNum w:abstractNumId="10">
    <w:nsid w:val="41AE6775"/>
    <w:multiLevelType w:val="hybridMultilevel"/>
    <w:tmpl w:val="A970A4A6"/>
    <w:lvl w:ilvl="0" w:tplc="1DF4A40A">
      <w:start w:val="1"/>
      <w:numFmt w:val="taiwaneseCountingThousand"/>
      <w:lvlText w:val="(%1)"/>
      <w:lvlJc w:val="left"/>
      <w:pPr>
        <w:ind w:left="1605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45" w:hanging="480"/>
      </w:pPr>
    </w:lvl>
    <w:lvl w:ilvl="2" w:tplc="0409001B" w:tentative="1">
      <w:start w:val="1"/>
      <w:numFmt w:val="lowerRoman"/>
      <w:lvlText w:val="%3."/>
      <w:lvlJc w:val="right"/>
      <w:pPr>
        <w:ind w:left="2325" w:hanging="480"/>
      </w:pPr>
    </w:lvl>
    <w:lvl w:ilvl="3" w:tplc="0409000F" w:tentative="1">
      <w:start w:val="1"/>
      <w:numFmt w:val="decimal"/>
      <w:lvlText w:val="%4."/>
      <w:lvlJc w:val="left"/>
      <w:pPr>
        <w:ind w:left="280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85" w:hanging="480"/>
      </w:pPr>
    </w:lvl>
    <w:lvl w:ilvl="5" w:tplc="0409001B" w:tentative="1">
      <w:start w:val="1"/>
      <w:numFmt w:val="lowerRoman"/>
      <w:lvlText w:val="%6."/>
      <w:lvlJc w:val="right"/>
      <w:pPr>
        <w:ind w:left="3765" w:hanging="480"/>
      </w:pPr>
    </w:lvl>
    <w:lvl w:ilvl="6" w:tplc="0409000F" w:tentative="1">
      <w:start w:val="1"/>
      <w:numFmt w:val="decimal"/>
      <w:lvlText w:val="%7."/>
      <w:lvlJc w:val="left"/>
      <w:pPr>
        <w:ind w:left="424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25" w:hanging="480"/>
      </w:pPr>
    </w:lvl>
    <w:lvl w:ilvl="8" w:tplc="0409001B" w:tentative="1">
      <w:start w:val="1"/>
      <w:numFmt w:val="lowerRoman"/>
      <w:lvlText w:val="%9."/>
      <w:lvlJc w:val="right"/>
      <w:pPr>
        <w:ind w:left="5205" w:hanging="480"/>
      </w:pPr>
    </w:lvl>
  </w:abstractNum>
  <w:abstractNum w:abstractNumId="11">
    <w:nsid w:val="509817F3"/>
    <w:multiLevelType w:val="hybridMultilevel"/>
    <w:tmpl w:val="104EFCF2"/>
    <w:lvl w:ilvl="0" w:tplc="A1A025AC">
      <w:start w:val="1"/>
      <w:numFmt w:val="ideographLegalTraditional"/>
      <w:lvlText w:val="%1、"/>
      <w:lvlJc w:val="left"/>
      <w:pPr>
        <w:ind w:left="720" w:hanging="720"/>
      </w:pPr>
      <w:rPr>
        <w:rFonts w:hint="default"/>
      </w:rPr>
    </w:lvl>
    <w:lvl w:ilvl="1" w:tplc="8AE042E8">
      <w:start w:val="1"/>
      <w:numFmt w:val="taiwaneseCountingThousand"/>
      <w:lvlText w:val="%2、"/>
      <w:lvlJc w:val="left"/>
      <w:pPr>
        <w:ind w:left="960" w:hanging="48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55487DC4"/>
    <w:multiLevelType w:val="singleLevel"/>
    <w:tmpl w:val="1B70D710"/>
    <w:lvl w:ilvl="0">
      <w:start w:val="1"/>
      <w:numFmt w:val="taiwaneseCountingThousand"/>
      <w:lvlText w:val="%1、"/>
      <w:lvlJc w:val="left"/>
      <w:pPr>
        <w:tabs>
          <w:tab w:val="num" w:pos="1264"/>
        </w:tabs>
        <w:ind w:left="1264" w:hanging="810"/>
      </w:pPr>
      <w:rPr>
        <w:rFonts w:hint="eastAsia"/>
      </w:rPr>
    </w:lvl>
  </w:abstractNum>
  <w:abstractNum w:abstractNumId="13">
    <w:nsid w:val="55C34FF0"/>
    <w:multiLevelType w:val="hybridMultilevel"/>
    <w:tmpl w:val="CD8ABC84"/>
    <w:lvl w:ilvl="0" w:tplc="8AE042E8">
      <w:start w:val="1"/>
      <w:numFmt w:val="taiwaneseCountingThousand"/>
      <w:lvlText w:val="%1、"/>
      <w:lvlJc w:val="left"/>
      <w:pPr>
        <w:ind w:left="862" w:hanging="720"/>
      </w:pPr>
      <w:rPr>
        <w:rFonts w:hint="default"/>
        <w:lang w:val="en-US"/>
      </w:rPr>
    </w:lvl>
    <w:lvl w:ilvl="1" w:tplc="3AB832A8">
      <w:start w:val="1"/>
      <w:numFmt w:val="taiwaneseCountingThousand"/>
      <w:lvlText w:val="(%2)"/>
      <w:lvlJc w:val="left"/>
      <w:pPr>
        <w:ind w:left="1255" w:hanging="720"/>
      </w:pPr>
      <w:rPr>
        <w:rFonts w:hint="default"/>
      </w:rPr>
    </w:lvl>
    <w:lvl w:ilvl="2" w:tplc="37A2A56A">
      <w:start w:val="1"/>
      <w:numFmt w:val="decimal"/>
      <w:lvlText w:val="%3."/>
      <w:lvlJc w:val="left"/>
      <w:pPr>
        <w:ind w:left="1375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97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55" w:hanging="480"/>
      </w:pPr>
    </w:lvl>
    <w:lvl w:ilvl="5" w:tplc="0409001B" w:tentative="1">
      <w:start w:val="1"/>
      <w:numFmt w:val="lowerRoman"/>
      <w:lvlText w:val="%6."/>
      <w:lvlJc w:val="right"/>
      <w:pPr>
        <w:ind w:left="2935" w:hanging="480"/>
      </w:pPr>
    </w:lvl>
    <w:lvl w:ilvl="6" w:tplc="0409000F" w:tentative="1">
      <w:start w:val="1"/>
      <w:numFmt w:val="decimal"/>
      <w:lvlText w:val="%7."/>
      <w:lvlJc w:val="left"/>
      <w:pPr>
        <w:ind w:left="341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95" w:hanging="480"/>
      </w:pPr>
    </w:lvl>
    <w:lvl w:ilvl="8" w:tplc="0409001B" w:tentative="1">
      <w:start w:val="1"/>
      <w:numFmt w:val="lowerRoman"/>
      <w:lvlText w:val="%9."/>
      <w:lvlJc w:val="right"/>
      <w:pPr>
        <w:ind w:left="4375" w:hanging="480"/>
      </w:pPr>
    </w:lvl>
  </w:abstractNum>
  <w:abstractNum w:abstractNumId="14">
    <w:nsid w:val="5847606D"/>
    <w:multiLevelType w:val="multilevel"/>
    <w:tmpl w:val="99D29624"/>
    <w:lvl w:ilvl="0">
      <w:start w:val="1"/>
      <w:numFmt w:val="taiwaneseCountingThousand"/>
      <w:suff w:val="nothing"/>
      <w:lvlText w:val="%1、"/>
      <w:lvlJc w:val="left"/>
      <w:pPr>
        <w:ind w:left="953" w:hanging="641"/>
      </w:pPr>
      <w:rPr>
        <w:rFonts w:ascii="Times New Roman" w:eastAsia="標楷體" w:hAnsi="Times New Roman" w:hint="default"/>
        <w:b w:val="0"/>
        <w:i w:val="0"/>
        <w:caps w:val="0"/>
        <w:strike w:val="0"/>
        <w:dstrike w:val="0"/>
        <w:vanish w:val="0"/>
        <w:color w:val="auto"/>
        <w:sz w:val="32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taiwaneseCountingThousand"/>
      <w:suff w:val="nothing"/>
      <w:lvlText w:val="(%2)"/>
      <w:lvlJc w:val="left"/>
      <w:pPr>
        <w:ind w:left="1276" w:hanging="539"/>
      </w:pPr>
      <w:rPr>
        <w:rFonts w:ascii="Times New Roman" w:eastAsia="標楷體" w:hAnsi="Times New Roman" w:hint="default"/>
        <w:b w:val="0"/>
        <w:i w:val="0"/>
        <w:caps w:val="0"/>
        <w:strike w:val="0"/>
        <w:dstrike w:val="0"/>
        <w:vanish w:val="0"/>
        <w:color w:val="000000"/>
        <w:sz w:val="32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FullWidth"/>
      <w:suff w:val="nothing"/>
      <w:lvlText w:val="%3、"/>
      <w:lvlJc w:val="left"/>
      <w:pPr>
        <w:ind w:left="1605" w:hanging="641"/>
      </w:pPr>
      <w:rPr>
        <w:rFonts w:ascii="Times New Roman" w:eastAsia="標楷體" w:hAnsi="Times New Roman" w:hint="default"/>
        <w:b w:val="0"/>
        <w:i w:val="0"/>
        <w:caps w:val="0"/>
        <w:strike w:val="0"/>
        <w:dstrike w:val="0"/>
        <w:vanish w:val="0"/>
        <w:color w:val="auto"/>
        <w:sz w:val="32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FullWidth"/>
      <w:suff w:val="nothing"/>
      <w:lvlText w:val="(%4)"/>
      <w:lvlJc w:val="left"/>
      <w:pPr>
        <w:ind w:left="1928" w:hanging="545"/>
      </w:pPr>
      <w:rPr>
        <w:rFonts w:ascii="Times New Roman" w:eastAsia="標楷體" w:hAnsi="Times New Roman" w:hint="default"/>
        <w:b w:val="0"/>
        <w:i w:val="0"/>
        <w:caps w:val="0"/>
        <w:strike w:val="0"/>
        <w:dstrike w:val="0"/>
        <w:vanish w:val="0"/>
        <w:color w:val="auto"/>
        <w:sz w:val="32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ideographTraditional"/>
      <w:suff w:val="nothing"/>
      <w:lvlText w:val="%5、"/>
      <w:lvlJc w:val="left"/>
      <w:pPr>
        <w:ind w:left="2240" w:hanging="635"/>
      </w:pPr>
      <w:rPr>
        <w:rFonts w:ascii="標楷體" w:eastAsia="標楷體" w:hint="eastAsia"/>
        <w:b w:val="0"/>
        <w:i w:val="0"/>
        <w:sz w:val="32"/>
      </w:rPr>
    </w:lvl>
    <w:lvl w:ilvl="5">
      <w:start w:val="1"/>
      <w:numFmt w:val="none"/>
      <w:lvlText w:val="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none"/>
      <w:lvlText w:val="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none"/>
      <w:lvlText w:val="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none"/>
      <w:lvlText w:val="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5">
    <w:nsid w:val="5FAD338F"/>
    <w:multiLevelType w:val="hybridMultilevel"/>
    <w:tmpl w:val="6BAE8F58"/>
    <w:lvl w:ilvl="0" w:tplc="A1A025AC">
      <w:start w:val="1"/>
      <w:numFmt w:val="ideographLegalTraditional"/>
      <w:lvlText w:val="%1、"/>
      <w:lvlJc w:val="left"/>
      <w:pPr>
        <w:ind w:left="720" w:hanging="720"/>
      </w:pPr>
      <w:rPr>
        <w:rFonts w:hint="default"/>
      </w:rPr>
    </w:lvl>
    <w:lvl w:ilvl="1" w:tplc="8AE042E8">
      <w:start w:val="1"/>
      <w:numFmt w:val="taiwaneseCountingThousand"/>
      <w:lvlText w:val="%2、"/>
      <w:lvlJc w:val="left"/>
      <w:pPr>
        <w:ind w:left="960" w:hanging="48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>
    <w:nsid w:val="692D2DE0"/>
    <w:multiLevelType w:val="hybridMultilevel"/>
    <w:tmpl w:val="29784608"/>
    <w:lvl w:ilvl="0" w:tplc="FE4C6230">
      <w:start w:val="1"/>
      <w:numFmt w:val="taiwaneseCountingThousand"/>
      <w:lvlText w:val="%1、"/>
      <w:lvlJc w:val="left"/>
      <w:pPr>
        <w:ind w:left="1004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44" w:hanging="480"/>
      </w:pPr>
    </w:lvl>
    <w:lvl w:ilvl="2" w:tplc="0409001B" w:tentative="1">
      <w:start w:val="1"/>
      <w:numFmt w:val="lowerRoman"/>
      <w:lvlText w:val="%3."/>
      <w:lvlJc w:val="right"/>
      <w:pPr>
        <w:ind w:left="1724" w:hanging="480"/>
      </w:pPr>
    </w:lvl>
    <w:lvl w:ilvl="3" w:tplc="0409000F" w:tentative="1">
      <w:start w:val="1"/>
      <w:numFmt w:val="decimal"/>
      <w:lvlText w:val="%4."/>
      <w:lvlJc w:val="left"/>
      <w:pPr>
        <w:ind w:left="220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4" w:hanging="480"/>
      </w:pPr>
    </w:lvl>
    <w:lvl w:ilvl="5" w:tplc="0409001B" w:tentative="1">
      <w:start w:val="1"/>
      <w:numFmt w:val="lowerRoman"/>
      <w:lvlText w:val="%6."/>
      <w:lvlJc w:val="right"/>
      <w:pPr>
        <w:ind w:left="3164" w:hanging="480"/>
      </w:pPr>
    </w:lvl>
    <w:lvl w:ilvl="6" w:tplc="0409000F" w:tentative="1">
      <w:start w:val="1"/>
      <w:numFmt w:val="decimal"/>
      <w:lvlText w:val="%7."/>
      <w:lvlJc w:val="left"/>
      <w:pPr>
        <w:ind w:left="364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4" w:hanging="480"/>
      </w:pPr>
    </w:lvl>
    <w:lvl w:ilvl="8" w:tplc="0409001B" w:tentative="1">
      <w:start w:val="1"/>
      <w:numFmt w:val="lowerRoman"/>
      <w:lvlText w:val="%9."/>
      <w:lvlJc w:val="right"/>
      <w:pPr>
        <w:ind w:left="4604" w:hanging="480"/>
      </w:pPr>
    </w:lvl>
  </w:abstractNum>
  <w:abstractNum w:abstractNumId="17">
    <w:nsid w:val="6CE25B15"/>
    <w:multiLevelType w:val="hybridMultilevel"/>
    <w:tmpl w:val="CD8ABC84"/>
    <w:lvl w:ilvl="0" w:tplc="8AE042E8">
      <w:start w:val="1"/>
      <w:numFmt w:val="taiwaneseCountingThousand"/>
      <w:lvlText w:val="%1、"/>
      <w:lvlJc w:val="left"/>
      <w:pPr>
        <w:ind w:left="1287" w:hanging="720"/>
      </w:pPr>
      <w:rPr>
        <w:rFonts w:hint="default"/>
        <w:lang w:val="en-US"/>
      </w:rPr>
    </w:lvl>
    <w:lvl w:ilvl="1" w:tplc="3AB832A8">
      <w:start w:val="1"/>
      <w:numFmt w:val="taiwaneseCountingThousand"/>
      <w:lvlText w:val="(%2)"/>
      <w:lvlJc w:val="left"/>
      <w:pPr>
        <w:ind w:left="1680" w:hanging="720"/>
      </w:pPr>
      <w:rPr>
        <w:rFonts w:hint="default"/>
      </w:rPr>
    </w:lvl>
    <w:lvl w:ilvl="2" w:tplc="37A2A56A">
      <w:start w:val="1"/>
      <w:numFmt w:val="decimal"/>
      <w:lvlText w:val="%3."/>
      <w:lvlJc w:val="left"/>
      <w:pPr>
        <w:ind w:left="18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8">
    <w:nsid w:val="6E7F43A6"/>
    <w:multiLevelType w:val="hybridMultilevel"/>
    <w:tmpl w:val="F5AE9E7C"/>
    <w:lvl w:ilvl="0" w:tplc="A484CD0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C5690C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58C972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C2AFF1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71E2B1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C02166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F08CF4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26EF9E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224A06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64E5E91"/>
    <w:multiLevelType w:val="hybridMultilevel"/>
    <w:tmpl w:val="4BB83D82"/>
    <w:lvl w:ilvl="0" w:tplc="8AE042E8">
      <w:start w:val="1"/>
      <w:numFmt w:val="taiwaneseCountingThousand"/>
      <w:lvlText w:val="%1、"/>
      <w:lvlJc w:val="left"/>
      <w:pPr>
        <w:ind w:left="1756" w:hanging="48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2236" w:hanging="480"/>
      </w:pPr>
    </w:lvl>
    <w:lvl w:ilvl="2" w:tplc="0409001B" w:tentative="1">
      <w:start w:val="1"/>
      <w:numFmt w:val="lowerRoman"/>
      <w:lvlText w:val="%3."/>
      <w:lvlJc w:val="right"/>
      <w:pPr>
        <w:ind w:left="2716" w:hanging="480"/>
      </w:pPr>
    </w:lvl>
    <w:lvl w:ilvl="3" w:tplc="0409000F" w:tentative="1">
      <w:start w:val="1"/>
      <w:numFmt w:val="decimal"/>
      <w:lvlText w:val="%4."/>
      <w:lvlJc w:val="left"/>
      <w:pPr>
        <w:ind w:left="319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6" w:hanging="480"/>
      </w:pPr>
    </w:lvl>
    <w:lvl w:ilvl="5" w:tplc="0409001B" w:tentative="1">
      <w:start w:val="1"/>
      <w:numFmt w:val="lowerRoman"/>
      <w:lvlText w:val="%6."/>
      <w:lvlJc w:val="right"/>
      <w:pPr>
        <w:ind w:left="4156" w:hanging="480"/>
      </w:pPr>
    </w:lvl>
    <w:lvl w:ilvl="6" w:tplc="0409000F" w:tentative="1">
      <w:start w:val="1"/>
      <w:numFmt w:val="decimal"/>
      <w:lvlText w:val="%7."/>
      <w:lvlJc w:val="left"/>
      <w:pPr>
        <w:ind w:left="463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6" w:hanging="480"/>
      </w:pPr>
    </w:lvl>
    <w:lvl w:ilvl="8" w:tplc="0409001B" w:tentative="1">
      <w:start w:val="1"/>
      <w:numFmt w:val="lowerRoman"/>
      <w:lvlText w:val="%9."/>
      <w:lvlJc w:val="right"/>
      <w:pPr>
        <w:ind w:left="5596" w:hanging="480"/>
      </w:pPr>
    </w:lvl>
  </w:abstractNum>
  <w:abstractNum w:abstractNumId="20">
    <w:nsid w:val="7674232B"/>
    <w:multiLevelType w:val="hybridMultilevel"/>
    <w:tmpl w:val="693CA998"/>
    <w:lvl w:ilvl="0" w:tplc="9BA449FC">
      <w:start w:val="1"/>
      <w:numFmt w:val="taiwaneseCountingThousand"/>
      <w:lvlText w:val="%1、"/>
      <w:lvlJc w:val="left"/>
      <w:pPr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>
    <w:nsid w:val="792E1B1B"/>
    <w:multiLevelType w:val="hybridMultilevel"/>
    <w:tmpl w:val="21B8D1AE"/>
    <w:lvl w:ilvl="0" w:tplc="D87A4658">
      <w:start w:val="4"/>
      <w:numFmt w:val="ideographLegalTradition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2"/>
  </w:num>
  <w:num w:numId="2">
    <w:abstractNumId w:val="14"/>
  </w:num>
  <w:num w:numId="3">
    <w:abstractNumId w:val="14"/>
  </w:num>
  <w:num w:numId="4">
    <w:abstractNumId w:val="14"/>
  </w:num>
  <w:num w:numId="5">
    <w:abstractNumId w:val="14"/>
  </w:num>
  <w:num w:numId="6">
    <w:abstractNumId w:val="11"/>
  </w:num>
  <w:num w:numId="7">
    <w:abstractNumId w:val="5"/>
  </w:num>
  <w:num w:numId="8">
    <w:abstractNumId w:val="10"/>
  </w:num>
  <w:num w:numId="9">
    <w:abstractNumId w:val="16"/>
  </w:num>
  <w:num w:numId="10">
    <w:abstractNumId w:val="7"/>
  </w:num>
  <w:num w:numId="11">
    <w:abstractNumId w:val="21"/>
  </w:num>
  <w:num w:numId="12">
    <w:abstractNumId w:val="4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9"/>
  </w:num>
  <w:num w:numId="18">
    <w:abstractNumId w:val="17"/>
  </w:num>
  <w:num w:numId="19">
    <w:abstractNumId w:val="14"/>
  </w:num>
  <w:num w:numId="20">
    <w:abstractNumId w:val="14"/>
  </w:num>
  <w:num w:numId="21">
    <w:abstractNumId w:val="15"/>
  </w:num>
  <w:num w:numId="22">
    <w:abstractNumId w:val="19"/>
  </w:num>
  <w:num w:numId="23">
    <w:abstractNumId w:val="14"/>
  </w:num>
  <w:num w:numId="24">
    <w:abstractNumId w:val="14"/>
  </w:num>
  <w:num w:numId="25">
    <w:abstractNumId w:val="14"/>
  </w:num>
  <w:num w:numId="26">
    <w:abstractNumId w:val="14"/>
  </w:num>
  <w:num w:numId="27">
    <w:abstractNumId w:val="14"/>
  </w:num>
  <w:num w:numId="28">
    <w:abstractNumId w:val="13"/>
  </w:num>
  <w:num w:numId="29">
    <w:abstractNumId w:val="8"/>
  </w:num>
  <w:num w:numId="30">
    <w:abstractNumId w:val="18"/>
  </w:num>
  <w:num w:numId="31">
    <w:abstractNumId w:val="20"/>
  </w:num>
  <w:num w:numId="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doNotCompress"/>
  <w:hdrShapeDefaults>
    <o:shapedefaults v:ext="edit" spidmax="2049" fill="f" fillcolor="white" stroke="f">
      <v:fill color="white" on="f"/>
      <v:stroke on="f"/>
      <v:textbox inset="0,0,0,0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NewDocFlag" w:val="93newdoc"/>
    <w:docVar w:name="SaveDraftToDoc" w:val="0"/>
    <w:docVar w:name="SaveStatus" w:val="0"/>
    <w:docVar w:name="密等" w:val="1000"/>
    <w:docVar w:name="速別" w:val="100"/>
    <w:docVar w:name="單位發文" w:val="0"/>
    <w:docVar w:name="電子交換方式" w:val="0010"/>
    <w:docVar w:name="電腦名稱" w:val="WILLIAMLIU"/>
    <w:docVar w:name="範本名稱" w:val="1;函"/>
    <w:docVar w:name="機制類別" w:val="100"/>
    <w:docVar w:name="聯絡方式" w:val="0001"/>
    <w:docVar w:name="簽辦方式" w:val="---無---"/>
  </w:docVars>
  <w:rsids>
    <w:rsidRoot w:val="00244A00"/>
    <w:rsid w:val="00001C21"/>
    <w:rsid w:val="0000467F"/>
    <w:rsid w:val="00012EB2"/>
    <w:rsid w:val="000130D3"/>
    <w:rsid w:val="000224AF"/>
    <w:rsid w:val="000442F7"/>
    <w:rsid w:val="000457D9"/>
    <w:rsid w:val="00081271"/>
    <w:rsid w:val="000969C8"/>
    <w:rsid w:val="00097A1E"/>
    <w:rsid w:val="00097FB9"/>
    <w:rsid w:val="000A3522"/>
    <w:rsid w:val="000A3723"/>
    <w:rsid w:val="000B00A6"/>
    <w:rsid w:val="000B279A"/>
    <w:rsid w:val="000B2B28"/>
    <w:rsid w:val="000B5329"/>
    <w:rsid w:val="000D52AD"/>
    <w:rsid w:val="00104C9B"/>
    <w:rsid w:val="00106F3A"/>
    <w:rsid w:val="001163E4"/>
    <w:rsid w:val="00117FEA"/>
    <w:rsid w:val="001267CE"/>
    <w:rsid w:val="0012686D"/>
    <w:rsid w:val="00127E51"/>
    <w:rsid w:val="00132409"/>
    <w:rsid w:val="0013355E"/>
    <w:rsid w:val="00150053"/>
    <w:rsid w:val="00153645"/>
    <w:rsid w:val="0016433D"/>
    <w:rsid w:val="00164F89"/>
    <w:rsid w:val="001775F6"/>
    <w:rsid w:val="00187B16"/>
    <w:rsid w:val="00197C7E"/>
    <w:rsid w:val="001C4521"/>
    <w:rsid w:val="001C64DA"/>
    <w:rsid w:val="001E3116"/>
    <w:rsid w:val="001F1CA7"/>
    <w:rsid w:val="0020593F"/>
    <w:rsid w:val="00221CC0"/>
    <w:rsid w:val="0023455E"/>
    <w:rsid w:val="0024466B"/>
    <w:rsid w:val="00244A00"/>
    <w:rsid w:val="002503C5"/>
    <w:rsid w:val="00251776"/>
    <w:rsid w:val="00263D85"/>
    <w:rsid w:val="002778DE"/>
    <w:rsid w:val="002920B4"/>
    <w:rsid w:val="00294833"/>
    <w:rsid w:val="00296701"/>
    <w:rsid w:val="002B1EB3"/>
    <w:rsid w:val="002B6C34"/>
    <w:rsid w:val="002C5F13"/>
    <w:rsid w:val="002D1A8F"/>
    <w:rsid w:val="002D539D"/>
    <w:rsid w:val="002D6A90"/>
    <w:rsid w:val="002D7042"/>
    <w:rsid w:val="002F7BF3"/>
    <w:rsid w:val="0030169B"/>
    <w:rsid w:val="003037F8"/>
    <w:rsid w:val="00307340"/>
    <w:rsid w:val="0031725D"/>
    <w:rsid w:val="00330935"/>
    <w:rsid w:val="00344EE0"/>
    <w:rsid w:val="00355350"/>
    <w:rsid w:val="003558E1"/>
    <w:rsid w:val="00355E65"/>
    <w:rsid w:val="00360959"/>
    <w:rsid w:val="003619E0"/>
    <w:rsid w:val="00371A92"/>
    <w:rsid w:val="003930F7"/>
    <w:rsid w:val="003B7D0D"/>
    <w:rsid w:val="003C734C"/>
    <w:rsid w:val="003D21B2"/>
    <w:rsid w:val="003D23A8"/>
    <w:rsid w:val="003F460A"/>
    <w:rsid w:val="00407BD1"/>
    <w:rsid w:val="00420A70"/>
    <w:rsid w:val="00420BE2"/>
    <w:rsid w:val="0045633F"/>
    <w:rsid w:val="00465269"/>
    <w:rsid w:val="00465A98"/>
    <w:rsid w:val="0046614D"/>
    <w:rsid w:val="00473206"/>
    <w:rsid w:val="004739DD"/>
    <w:rsid w:val="0048255F"/>
    <w:rsid w:val="00490A57"/>
    <w:rsid w:val="00490C03"/>
    <w:rsid w:val="004A50AC"/>
    <w:rsid w:val="004B2FFC"/>
    <w:rsid w:val="004C2A2B"/>
    <w:rsid w:val="004D0BCB"/>
    <w:rsid w:val="004D0BE9"/>
    <w:rsid w:val="004D69A2"/>
    <w:rsid w:val="004E654F"/>
    <w:rsid w:val="004E6E2C"/>
    <w:rsid w:val="004E7183"/>
    <w:rsid w:val="004F6887"/>
    <w:rsid w:val="004F769C"/>
    <w:rsid w:val="00501065"/>
    <w:rsid w:val="00501129"/>
    <w:rsid w:val="005013E9"/>
    <w:rsid w:val="005250DA"/>
    <w:rsid w:val="00526BDF"/>
    <w:rsid w:val="00533B24"/>
    <w:rsid w:val="0055277B"/>
    <w:rsid w:val="005532B0"/>
    <w:rsid w:val="00571748"/>
    <w:rsid w:val="00571EEA"/>
    <w:rsid w:val="00573A77"/>
    <w:rsid w:val="00576B2E"/>
    <w:rsid w:val="00586A79"/>
    <w:rsid w:val="005B0E90"/>
    <w:rsid w:val="005B4945"/>
    <w:rsid w:val="005C2D7B"/>
    <w:rsid w:val="00611F58"/>
    <w:rsid w:val="006324D6"/>
    <w:rsid w:val="0063273A"/>
    <w:rsid w:val="00645A2D"/>
    <w:rsid w:val="00655B02"/>
    <w:rsid w:val="00677D96"/>
    <w:rsid w:val="006929C6"/>
    <w:rsid w:val="006B45E7"/>
    <w:rsid w:val="006D013F"/>
    <w:rsid w:val="006D20C5"/>
    <w:rsid w:val="006D71D1"/>
    <w:rsid w:val="006E1737"/>
    <w:rsid w:val="00704402"/>
    <w:rsid w:val="007051E9"/>
    <w:rsid w:val="00707831"/>
    <w:rsid w:val="00735CA1"/>
    <w:rsid w:val="00744489"/>
    <w:rsid w:val="00745549"/>
    <w:rsid w:val="00773BAE"/>
    <w:rsid w:val="007744A0"/>
    <w:rsid w:val="007A26D6"/>
    <w:rsid w:val="007C043A"/>
    <w:rsid w:val="007C2B19"/>
    <w:rsid w:val="007E60FC"/>
    <w:rsid w:val="007F40B0"/>
    <w:rsid w:val="007F5359"/>
    <w:rsid w:val="008053E7"/>
    <w:rsid w:val="00827689"/>
    <w:rsid w:val="00842EC9"/>
    <w:rsid w:val="0084664E"/>
    <w:rsid w:val="008518A8"/>
    <w:rsid w:val="008522BB"/>
    <w:rsid w:val="00874AF2"/>
    <w:rsid w:val="00881DB1"/>
    <w:rsid w:val="008821ED"/>
    <w:rsid w:val="008864B3"/>
    <w:rsid w:val="0088725A"/>
    <w:rsid w:val="00891DF0"/>
    <w:rsid w:val="00894C1E"/>
    <w:rsid w:val="008B280E"/>
    <w:rsid w:val="008C0E73"/>
    <w:rsid w:val="008C2F2F"/>
    <w:rsid w:val="008D29D2"/>
    <w:rsid w:val="008E36CC"/>
    <w:rsid w:val="008E68C8"/>
    <w:rsid w:val="008F36B7"/>
    <w:rsid w:val="009119B0"/>
    <w:rsid w:val="009220E3"/>
    <w:rsid w:val="00924447"/>
    <w:rsid w:val="00947853"/>
    <w:rsid w:val="009530B4"/>
    <w:rsid w:val="00961999"/>
    <w:rsid w:val="00986199"/>
    <w:rsid w:val="00990556"/>
    <w:rsid w:val="00993715"/>
    <w:rsid w:val="009A3A05"/>
    <w:rsid w:val="009C2CEF"/>
    <w:rsid w:val="009C418D"/>
    <w:rsid w:val="009C4C39"/>
    <w:rsid w:val="009C4F74"/>
    <w:rsid w:val="009D6519"/>
    <w:rsid w:val="009E64BE"/>
    <w:rsid w:val="009F3B66"/>
    <w:rsid w:val="00A22BA3"/>
    <w:rsid w:val="00A458C7"/>
    <w:rsid w:val="00A65FFB"/>
    <w:rsid w:val="00A660E3"/>
    <w:rsid w:val="00A71FC2"/>
    <w:rsid w:val="00A85448"/>
    <w:rsid w:val="00A907CA"/>
    <w:rsid w:val="00A9514A"/>
    <w:rsid w:val="00A96853"/>
    <w:rsid w:val="00AA5FEF"/>
    <w:rsid w:val="00AB45E7"/>
    <w:rsid w:val="00AE6DD5"/>
    <w:rsid w:val="00AE7BC1"/>
    <w:rsid w:val="00B1010C"/>
    <w:rsid w:val="00B1206D"/>
    <w:rsid w:val="00B426F5"/>
    <w:rsid w:val="00B72F5D"/>
    <w:rsid w:val="00B8527A"/>
    <w:rsid w:val="00B856FC"/>
    <w:rsid w:val="00BA2CCC"/>
    <w:rsid w:val="00BA64F5"/>
    <w:rsid w:val="00BC08AE"/>
    <w:rsid w:val="00BC7F2F"/>
    <w:rsid w:val="00BD7E2F"/>
    <w:rsid w:val="00BE0D0D"/>
    <w:rsid w:val="00BF6C53"/>
    <w:rsid w:val="00C018A8"/>
    <w:rsid w:val="00C11094"/>
    <w:rsid w:val="00C22E0F"/>
    <w:rsid w:val="00C31A46"/>
    <w:rsid w:val="00C3504B"/>
    <w:rsid w:val="00C45190"/>
    <w:rsid w:val="00C4753C"/>
    <w:rsid w:val="00C619CA"/>
    <w:rsid w:val="00C64D89"/>
    <w:rsid w:val="00C67849"/>
    <w:rsid w:val="00C76DBC"/>
    <w:rsid w:val="00C77587"/>
    <w:rsid w:val="00C832AC"/>
    <w:rsid w:val="00C911A8"/>
    <w:rsid w:val="00C91917"/>
    <w:rsid w:val="00C91AD9"/>
    <w:rsid w:val="00C923AD"/>
    <w:rsid w:val="00CA1515"/>
    <w:rsid w:val="00CA6574"/>
    <w:rsid w:val="00CB128A"/>
    <w:rsid w:val="00CC3C48"/>
    <w:rsid w:val="00CD1B29"/>
    <w:rsid w:val="00CD30D8"/>
    <w:rsid w:val="00CF24A8"/>
    <w:rsid w:val="00D10F7B"/>
    <w:rsid w:val="00D11A27"/>
    <w:rsid w:val="00D2272C"/>
    <w:rsid w:val="00D22863"/>
    <w:rsid w:val="00D237BB"/>
    <w:rsid w:val="00D241D9"/>
    <w:rsid w:val="00D25934"/>
    <w:rsid w:val="00D32DAA"/>
    <w:rsid w:val="00D34830"/>
    <w:rsid w:val="00D62F3D"/>
    <w:rsid w:val="00D64AB8"/>
    <w:rsid w:val="00D70C79"/>
    <w:rsid w:val="00D8552A"/>
    <w:rsid w:val="00D92BD8"/>
    <w:rsid w:val="00DA11DB"/>
    <w:rsid w:val="00DA3972"/>
    <w:rsid w:val="00DC75BF"/>
    <w:rsid w:val="00DD0ED8"/>
    <w:rsid w:val="00DF17A3"/>
    <w:rsid w:val="00E051CA"/>
    <w:rsid w:val="00E21C79"/>
    <w:rsid w:val="00E3054F"/>
    <w:rsid w:val="00E417DE"/>
    <w:rsid w:val="00E52677"/>
    <w:rsid w:val="00E55F2D"/>
    <w:rsid w:val="00E63056"/>
    <w:rsid w:val="00E64E73"/>
    <w:rsid w:val="00E73236"/>
    <w:rsid w:val="00E90A1C"/>
    <w:rsid w:val="00E95AAF"/>
    <w:rsid w:val="00E960DF"/>
    <w:rsid w:val="00E9719B"/>
    <w:rsid w:val="00EC23F6"/>
    <w:rsid w:val="00ED6385"/>
    <w:rsid w:val="00EE1F7A"/>
    <w:rsid w:val="00EF7F75"/>
    <w:rsid w:val="00F00198"/>
    <w:rsid w:val="00F01EE4"/>
    <w:rsid w:val="00F120B1"/>
    <w:rsid w:val="00F16AF6"/>
    <w:rsid w:val="00F21501"/>
    <w:rsid w:val="00F25A7F"/>
    <w:rsid w:val="00F302E2"/>
    <w:rsid w:val="00F62D69"/>
    <w:rsid w:val="00FA3D39"/>
    <w:rsid w:val="00FB312D"/>
    <w:rsid w:val="00FB3367"/>
    <w:rsid w:val="00FD56DA"/>
    <w:rsid w:val="00FE4397"/>
    <w:rsid w:val="00FF0081"/>
    <w:rsid w:val="00FF1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  <v:textbox inset="0,0,0,0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rFonts w:eastAsia="標楷體"/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公文(承辦單位)"/>
    <w:basedOn w:val="a"/>
    <w:pPr>
      <w:spacing w:line="300" w:lineRule="exact"/>
    </w:pPr>
  </w:style>
  <w:style w:type="paragraph" w:customStyle="1" w:styleId="a4">
    <w:name w:val="行文機關"/>
    <w:basedOn w:val="a"/>
    <w:pPr>
      <w:snapToGrid w:val="0"/>
      <w:spacing w:line="300" w:lineRule="exact"/>
      <w:ind w:left="8959" w:hanging="8959"/>
    </w:pPr>
    <w:rPr>
      <w:sz w:val="28"/>
    </w:rPr>
  </w:style>
  <w:style w:type="paragraph" w:customStyle="1" w:styleId="a5">
    <w:name w:val="密等"/>
    <w:basedOn w:val="a"/>
    <w:pPr>
      <w:snapToGrid w:val="0"/>
      <w:spacing w:line="300" w:lineRule="exact"/>
    </w:pPr>
  </w:style>
  <w:style w:type="paragraph" w:customStyle="1" w:styleId="a6">
    <w:name w:val="主旨"/>
    <w:basedOn w:val="a"/>
    <w:pPr>
      <w:snapToGrid w:val="0"/>
      <w:spacing w:line="560" w:lineRule="exact"/>
      <w:ind w:left="964" w:hanging="964"/>
      <w:jc w:val="both"/>
    </w:pPr>
    <w:rPr>
      <w:sz w:val="32"/>
    </w:rPr>
  </w:style>
  <w:style w:type="paragraph" w:customStyle="1" w:styleId="a7">
    <w:name w:val="速別"/>
    <w:basedOn w:val="a"/>
    <w:pPr>
      <w:snapToGrid w:val="0"/>
      <w:spacing w:line="300" w:lineRule="exact"/>
      <w:ind w:left="697" w:hanging="697"/>
      <w:jc w:val="both"/>
    </w:pPr>
  </w:style>
  <w:style w:type="paragraph" w:customStyle="1" w:styleId="a8">
    <w:name w:val="地名"/>
    <w:basedOn w:val="a"/>
    <w:pPr>
      <w:snapToGrid w:val="0"/>
    </w:pPr>
    <w:rPr>
      <w:sz w:val="28"/>
    </w:rPr>
  </w:style>
  <w:style w:type="paragraph" w:customStyle="1" w:styleId="a9">
    <w:name w:val="公文(檔號)"/>
    <w:basedOn w:val="a"/>
    <w:pPr>
      <w:widowControl/>
      <w:textAlignment w:val="baseline"/>
    </w:pPr>
    <w:rPr>
      <w:noProof/>
      <w:color w:val="FF0000"/>
      <w:kern w:val="0"/>
    </w:rPr>
  </w:style>
  <w:style w:type="paragraph" w:customStyle="1" w:styleId="aa">
    <w:name w:val="公文(敬會)"/>
    <w:basedOn w:val="a"/>
    <w:next w:val="a"/>
    <w:pPr>
      <w:widowControl/>
      <w:adjustRightInd w:val="0"/>
      <w:snapToGrid w:val="0"/>
      <w:ind w:left="720" w:hanging="720"/>
      <w:textAlignment w:val="baseline"/>
    </w:pPr>
    <w:rPr>
      <w:noProof/>
      <w:kern w:val="0"/>
    </w:rPr>
  </w:style>
  <w:style w:type="paragraph" w:styleId="ab">
    <w:name w:val="footer"/>
    <w:basedOn w:val="a"/>
    <w:link w:val="ac"/>
    <w:uiPriority w:val="99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d">
    <w:name w:val="page number"/>
    <w:basedOn w:val="a0"/>
  </w:style>
  <w:style w:type="paragraph" w:styleId="ae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f">
    <w:name w:val="批示欄位"/>
    <w:basedOn w:val="a"/>
    <w:pPr>
      <w:widowControl/>
      <w:snapToGrid w:val="0"/>
      <w:spacing w:line="320" w:lineRule="exact"/>
      <w:textAlignment w:val="baseline"/>
    </w:pPr>
    <w:rPr>
      <w:noProof/>
      <w:kern w:val="0"/>
    </w:rPr>
  </w:style>
  <w:style w:type="paragraph" w:customStyle="1" w:styleId="af0">
    <w:name w:val="機關名稱"/>
    <w:basedOn w:val="a"/>
    <w:pPr>
      <w:snapToGrid w:val="0"/>
      <w:spacing w:line="720" w:lineRule="exact"/>
      <w:jc w:val="center"/>
    </w:pPr>
    <w:rPr>
      <w:sz w:val="40"/>
    </w:rPr>
  </w:style>
  <w:style w:type="paragraph" w:customStyle="1" w:styleId="af1">
    <w:name w:val="本文卷處理方式"/>
    <w:basedOn w:val="a"/>
    <w:pPr>
      <w:spacing w:line="300" w:lineRule="exact"/>
    </w:pPr>
  </w:style>
  <w:style w:type="paragraph" w:styleId="af2">
    <w:name w:val="Body Text Indent"/>
    <w:basedOn w:val="a"/>
    <w:pPr>
      <w:spacing w:line="240" w:lineRule="exact"/>
      <w:ind w:left="600" w:hangingChars="300" w:hanging="600"/>
    </w:pPr>
    <w:rPr>
      <w:sz w:val="20"/>
    </w:rPr>
  </w:style>
  <w:style w:type="paragraph" w:customStyle="1" w:styleId="af3">
    <w:name w:val="發文日期"/>
    <w:basedOn w:val="a5"/>
  </w:style>
  <w:style w:type="paragraph" w:customStyle="1" w:styleId="af4">
    <w:name w:val="發文字號"/>
    <w:basedOn w:val="a"/>
    <w:pPr>
      <w:snapToGrid w:val="0"/>
      <w:spacing w:line="300" w:lineRule="exact"/>
    </w:pPr>
  </w:style>
  <w:style w:type="paragraph" w:customStyle="1" w:styleId="af5">
    <w:name w:val="附件"/>
    <w:basedOn w:val="a"/>
    <w:pPr>
      <w:snapToGrid w:val="0"/>
      <w:spacing w:line="300" w:lineRule="exact"/>
      <w:ind w:left="697" w:hanging="697"/>
    </w:pPr>
  </w:style>
  <w:style w:type="paragraph" w:customStyle="1" w:styleId="af6">
    <w:name w:val="分項段落"/>
    <w:basedOn w:val="a"/>
    <w:pPr>
      <w:widowControl/>
      <w:wordWrap w:val="0"/>
      <w:snapToGrid w:val="0"/>
      <w:spacing w:line="560" w:lineRule="exact"/>
      <w:jc w:val="both"/>
      <w:textAlignment w:val="baseline"/>
    </w:pPr>
    <w:rPr>
      <w:noProof/>
      <w:kern w:val="0"/>
      <w:sz w:val="32"/>
    </w:rPr>
  </w:style>
  <w:style w:type="paragraph" w:customStyle="1" w:styleId="af7">
    <w:name w:val="說明辦法首行"/>
    <w:basedOn w:val="a"/>
    <w:pPr>
      <w:kinsoku w:val="0"/>
      <w:adjustRightInd w:val="0"/>
      <w:snapToGrid w:val="0"/>
      <w:spacing w:line="560" w:lineRule="exact"/>
      <w:ind w:left="964" w:hanging="964"/>
      <w:jc w:val="both"/>
    </w:pPr>
    <w:rPr>
      <w:sz w:val="32"/>
    </w:rPr>
  </w:style>
  <w:style w:type="paragraph" w:customStyle="1" w:styleId="af8">
    <w:name w:val="首長"/>
    <w:basedOn w:val="a6"/>
  </w:style>
  <w:style w:type="paragraph" w:styleId="af9">
    <w:name w:val="Document Map"/>
    <w:basedOn w:val="a"/>
    <w:semiHidden/>
    <w:pPr>
      <w:shd w:val="clear" w:color="auto" w:fill="000080"/>
    </w:pPr>
    <w:rPr>
      <w:rFonts w:ascii="Arial" w:eastAsia="新細明體" w:hAnsi="Arial"/>
    </w:rPr>
  </w:style>
  <w:style w:type="paragraph" w:customStyle="1" w:styleId="afa">
    <w:name w:val="存卷"/>
    <w:basedOn w:val="af"/>
    <w:rPr>
      <w:noProof w:val="0"/>
      <w:sz w:val="28"/>
    </w:rPr>
  </w:style>
  <w:style w:type="paragraph" w:styleId="afb">
    <w:name w:val="Body Text"/>
    <w:basedOn w:val="a"/>
    <w:pPr>
      <w:spacing w:after="120"/>
    </w:pPr>
  </w:style>
  <w:style w:type="character" w:customStyle="1" w:styleId="ac">
    <w:name w:val="頁尾 字元"/>
    <w:link w:val="ab"/>
    <w:uiPriority w:val="99"/>
    <w:rsid w:val="006324D6"/>
    <w:rPr>
      <w:rFonts w:eastAsia="標楷體"/>
      <w:kern w:val="2"/>
    </w:rPr>
  </w:style>
  <w:style w:type="paragraph" w:customStyle="1" w:styleId="afc">
    <w:name w:val="抄本"/>
    <w:basedOn w:val="a4"/>
  </w:style>
  <w:style w:type="paragraph" w:customStyle="1" w:styleId="afd">
    <w:name w:val="抄件"/>
    <w:basedOn w:val="afc"/>
  </w:style>
  <w:style w:type="paragraph" w:customStyle="1" w:styleId="afe">
    <w:name w:val="受文者"/>
    <w:basedOn w:val="a4"/>
    <w:pPr>
      <w:spacing w:line="560" w:lineRule="exact"/>
      <w:ind w:left="1276" w:hanging="1276"/>
    </w:pPr>
    <w:rPr>
      <w:sz w:val="32"/>
    </w:rPr>
  </w:style>
  <w:style w:type="paragraph" w:customStyle="1" w:styleId="aff">
    <w:name w:val="正副本"/>
    <w:basedOn w:val="a"/>
    <w:pPr>
      <w:snapToGrid w:val="0"/>
      <w:spacing w:line="300" w:lineRule="exact"/>
      <w:ind w:left="697" w:hanging="697"/>
      <w:jc w:val="both"/>
    </w:pPr>
  </w:style>
  <w:style w:type="paragraph" w:customStyle="1" w:styleId="aff0">
    <w:name w:val="聯絡方式"/>
    <w:basedOn w:val="a4"/>
    <w:rPr>
      <w:sz w:val="24"/>
    </w:rPr>
  </w:style>
  <w:style w:type="paragraph" w:customStyle="1" w:styleId="aff1">
    <w:name w:val="郵遞區號"/>
    <w:basedOn w:val="afe"/>
    <w:pPr>
      <w:spacing w:line="280" w:lineRule="exact"/>
    </w:pPr>
    <w:rPr>
      <w:sz w:val="24"/>
    </w:rPr>
  </w:style>
  <w:style w:type="paragraph" w:customStyle="1" w:styleId="aff2">
    <w:name w:val="地址"/>
    <w:basedOn w:val="afe"/>
    <w:pPr>
      <w:spacing w:line="300" w:lineRule="exact"/>
      <w:ind w:left="0" w:firstLine="0"/>
      <w:jc w:val="both"/>
    </w:pPr>
    <w:rPr>
      <w:sz w:val="24"/>
    </w:rPr>
  </w:style>
  <w:style w:type="paragraph" w:styleId="aff3">
    <w:name w:val="Balloon Text"/>
    <w:basedOn w:val="a"/>
    <w:link w:val="aff4"/>
    <w:rsid w:val="006324D6"/>
    <w:rPr>
      <w:rFonts w:ascii="Cambria" w:eastAsia="新細明體" w:hAnsi="Cambria"/>
      <w:sz w:val="18"/>
      <w:szCs w:val="18"/>
    </w:rPr>
  </w:style>
  <w:style w:type="character" w:customStyle="1" w:styleId="aff4">
    <w:name w:val="註解方塊文字 字元"/>
    <w:link w:val="aff3"/>
    <w:rsid w:val="006324D6"/>
    <w:rPr>
      <w:rFonts w:ascii="Cambria" w:eastAsia="新細明體" w:hAnsi="Cambria" w:cs="Times New Roman"/>
      <w:kern w:val="2"/>
      <w:sz w:val="18"/>
      <w:szCs w:val="18"/>
    </w:rPr>
  </w:style>
  <w:style w:type="paragraph" w:styleId="aff5">
    <w:name w:val="List Paragraph"/>
    <w:basedOn w:val="a"/>
    <w:uiPriority w:val="34"/>
    <w:qFormat/>
    <w:rsid w:val="0031725D"/>
    <w:pPr>
      <w:widowControl/>
      <w:ind w:leftChars="200" w:left="480"/>
    </w:pPr>
    <w:rPr>
      <w:rFonts w:ascii="新細明體" w:eastAsia="新細明體" w:hAnsi="新細明體" w:cs="新細明體"/>
      <w:kern w:val="0"/>
      <w:szCs w:val="24"/>
    </w:rPr>
  </w:style>
  <w:style w:type="paragraph" w:styleId="Web">
    <w:name w:val="Normal (Web)"/>
    <w:basedOn w:val="a"/>
    <w:uiPriority w:val="99"/>
    <w:unhideWhenUsed/>
    <w:rsid w:val="003558E1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rFonts w:eastAsia="標楷體"/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公文(承辦單位)"/>
    <w:basedOn w:val="a"/>
    <w:pPr>
      <w:spacing w:line="300" w:lineRule="exact"/>
    </w:pPr>
  </w:style>
  <w:style w:type="paragraph" w:customStyle="1" w:styleId="a4">
    <w:name w:val="行文機關"/>
    <w:basedOn w:val="a"/>
    <w:pPr>
      <w:snapToGrid w:val="0"/>
      <w:spacing w:line="300" w:lineRule="exact"/>
      <w:ind w:left="8959" w:hanging="8959"/>
    </w:pPr>
    <w:rPr>
      <w:sz w:val="28"/>
    </w:rPr>
  </w:style>
  <w:style w:type="paragraph" w:customStyle="1" w:styleId="a5">
    <w:name w:val="密等"/>
    <w:basedOn w:val="a"/>
    <w:pPr>
      <w:snapToGrid w:val="0"/>
      <w:spacing w:line="300" w:lineRule="exact"/>
    </w:pPr>
  </w:style>
  <w:style w:type="paragraph" w:customStyle="1" w:styleId="a6">
    <w:name w:val="主旨"/>
    <w:basedOn w:val="a"/>
    <w:pPr>
      <w:snapToGrid w:val="0"/>
      <w:spacing w:line="560" w:lineRule="exact"/>
      <w:ind w:left="964" w:hanging="964"/>
      <w:jc w:val="both"/>
    </w:pPr>
    <w:rPr>
      <w:sz w:val="32"/>
    </w:rPr>
  </w:style>
  <w:style w:type="paragraph" w:customStyle="1" w:styleId="a7">
    <w:name w:val="速別"/>
    <w:basedOn w:val="a"/>
    <w:pPr>
      <w:snapToGrid w:val="0"/>
      <w:spacing w:line="300" w:lineRule="exact"/>
      <w:ind w:left="697" w:hanging="697"/>
      <w:jc w:val="both"/>
    </w:pPr>
  </w:style>
  <w:style w:type="paragraph" w:customStyle="1" w:styleId="a8">
    <w:name w:val="地名"/>
    <w:basedOn w:val="a"/>
    <w:pPr>
      <w:snapToGrid w:val="0"/>
    </w:pPr>
    <w:rPr>
      <w:sz w:val="28"/>
    </w:rPr>
  </w:style>
  <w:style w:type="paragraph" w:customStyle="1" w:styleId="a9">
    <w:name w:val="公文(檔號)"/>
    <w:basedOn w:val="a"/>
    <w:pPr>
      <w:widowControl/>
      <w:textAlignment w:val="baseline"/>
    </w:pPr>
    <w:rPr>
      <w:noProof/>
      <w:color w:val="FF0000"/>
      <w:kern w:val="0"/>
    </w:rPr>
  </w:style>
  <w:style w:type="paragraph" w:customStyle="1" w:styleId="aa">
    <w:name w:val="公文(敬會)"/>
    <w:basedOn w:val="a"/>
    <w:next w:val="a"/>
    <w:pPr>
      <w:widowControl/>
      <w:adjustRightInd w:val="0"/>
      <w:snapToGrid w:val="0"/>
      <w:ind w:left="720" w:hanging="720"/>
      <w:textAlignment w:val="baseline"/>
    </w:pPr>
    <w:rPr>
      <w:noProof/>
      <w:kern w:val="0"/>
    </w:rPr>
  </w:style>
  <w:style w:type="paragraph" w:styleId="ab">
    <w:name w:val="footer"/>
    <w:basedOn w:val="a"/>
    <w:link w:val="ac"/>
    <w:uiPriority w:val="99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d">
    <w:name w:val="page number"/>
    <w:basedOn w:val="a0"/>
  </w:style>
  <w:style w:type="paragraph" w:styleId="ae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f">
    <w:name w:val="批示欄位"/>
    <w:basedOn w:val="a"/>
    <w:pPr>
      <w:widowControl/>
      <w:snapToGrid w:val="0"/>
      <w:spacing w:line="320" w:lineRule="exact"/>
      <w:textAlignment w:val="baseline"/>
    </w:pPr>
    <w:rPr>
      <w:noProof/>
      <w:kern w:val="0"/>
    </w:rPr>
  </w:style>
  <w:style w:type="paragraph" w:customStyle="1" w:styleId="af0">
    <w:name w:val="機關名稱"/>
    <w:basedOn w:val="a"/>
    <w:pPr>
      <w:snapToGrid w:val="0"/>
      <w:spacing w:line="720" w:lineRule="exact"/>
      <w:jc w:val="center"/>
    </w:pPr>
    <w:rPr>
      <w:sz w:val="40"/>
    </w:rPr>
  </w:style>
  <w:style w:type="paragraph" w:customStyle="1" w:styleId="af1">
    <w:name w:val="本文卷處理方式"/>
    <w:basedOn w:val="a"/>
    <w:pPr>
      <w:spacing w:line="300" w:lineRule="exact"/>
    </w:pPr>
  </w:style>
  <w:style w:type="paragraph" w:styleId="af2">
    <w:name w:val="Body Text Indent"/>
    <w:basedOn w:val="a"/>
    <w:pPr>
      <w:spacing w:line="240" w:lineRule="exact"/>
      <w:ind w:left="600" w:hangingChars="300" w:hanging="600"/>
    </w:pPr>
    <w:rPr>
      <w:sz w:val="20"/>
    </w:rPr>
  </w:style>
  <w:style w:type="paragraph" w:customStyle="1" w:styleId="af3">
    <w:name w:val="發文日期"/>
    <w:basedOn w:val="a5"/>
  </w:style>
  <w:style w:type="paragraph" w:customStyle="1" w:styleId="af4">
    <w:name w:val="發文字號"/>
    <w:basedOn w:val="a"/>
    <w:pPr>
      <w:snapToGrid w:val="0"/>
      <w:spacing w:line="300" w:lineRule="exact"/>
    </w:pPr>
  </w:style>
  <w:style w:type="paragraph" w:customStyle="1" w:styleId="af5">
    <w:name w:val="附件"/>
    <w:basedOn w:val="a"/>
    <w:pPr>
      <w:snapToGrid w:val="0"/>
      <w:spacing w:line="300" w:lineRule="exact"/>
      <w:ind w:left="697" w:hanging="697"/>
    </w:pPr>
  </w:style>
  <w:style w:type="paragraph" w:customStyle="1" w:styleId="af6">
    <w:name w:val="分項段落"/>
    <w:basedOn w:val="a"/>
    <w:pPr>
      <w:widowControl/>
      <w:wordWrap w:val="0"/>
      <w:snapToGrid w:val="0"/>
      <w:spacing w:line="560" w:lineRule="exact"/>
      <w:jc w:val="both"/>
      <w:textAlignment w:val="baseline"/>
    </w:pPr>
    <w:rPr>
      <w:noProof/>
      <w:kern w:val="0"/>
      <w:sz w:val="32"/>
    </w:rPr>
  </w:style>
  <w:style w:type="paragraph" w:customStyle="1" w:styleId="af7">
    <w:name w:val="說明辦法首行"/>
    <w:basedOn w:val="a"/>
    <w:pPr>
      <w:kinsoku w:val="0"/>
      <w:adjustRightInd w:val="0"/>
      <w:snapToGrid w:val="0"/>
      <w:spacing w:line="560" w:lineRule="exact"/>
      <w:ind w:left="964" w:hanging="964"/>
      <w:jc w:val="both"/>
    </w:pPr>
    <w:rPr>
      <w:sz w:val="32"/>
    </w:rPr>
  </w:style>
  <w:style w:type="paragraph" w:customStyle="1" w:styleId="af8">
    <w:name w:val="首長"/>
    <w:basedOn w:val="a6"/>
  </w:style>
  <w:style w:type="paragraph" w:styleId="af9">
    <w:name w:val="Document Map"/>
    <w:basedOn w:val="a"/>
    <w:semiHidden/>
    <w:pPr>
      <w:shd w:val="clear" w:color="auto" w:fill="000080"/>
    </w:pPr>
    <w:rPr>
      <w:rFonts w:ascii="Arial" w:eastAsia="新細明體" w:hAnsi="Arial"/>
    </w:rPr>
  </w:style>
  <w:style w:type="paragraph" w:customStyle="1" w:styleId="afa">
    <w:name w:val="存卷"/>
    <w:basedOn w:val="af"/>
    <w:rPr>
      <w:noProof w:val="0"/>
      <w:sz w:val="28"/>
    </w:rPr>
  </w:style>
  <w:style w:type="paragraph" w:styleId="afb">
    <w:name w:val="Body Text"/>
    <w:basedOn w:val="a"/>
    <w:pPr>
      <w:spacing w:after="120"/>
    </w:pPr>
  </w:style>
  <w:style w:type="character" w:customStyle="1" w:styleId="ac">
    <w:name w:val="頁尾 字元"/>
    <w:link w:val="ab"/>
    <w:uiPriority w:val="99"/>
    <w:rsid w:val="006324D6"/>
    <w:rPr>
      <w:rFonts w:eastAsia="標楷體"/>
      <w:kern w:val="2"/>
    </w:rPr>
  </w:style>
  <w:style w:type="paragraph" w:customStyle="1" w:styleId="afc">
    <w:name w:val="抄本"/>
    <w:basedOn w:val="a4"/>
  </w:style>
  <w:style w:type="paragraph" w:customStyle="1" w:styleId="afd">
    <w:name w:val="抄件"/>
    <w:basedOn w:val="afc"/>
  </w:style>
  <w:style w:type="paragraph" w:customStyle="1" w:styleId="afe">
    <w:name w:val="受文者"/>
    <w:basedOn w:val="a4"/>
    <w:pPr>
      <w:spacing w:line="560" w:lineRule="exact"/>
      <w:ind w:left="1276" w:hanging="1276"/>
    </w:pPr>
    <w:rPr>
      <w:sz w:val="32"/>
    </w:rPr>
  </w:style>
  <w:style w:type="paragraph" w:customStyle="1" w:styleId="aff">
    <w:name w:val="正副本"/>
    <w:basedOn w:val="a"/>
    <w:pPr>
      <w:snapToGrid w:val="0"/>
      <w:spacing w:line="300" w:lineRule="exact"/>
      <w:ind w:left="697" w:hanging="697"/>
      <w:jc w:val="both"/>
    </w:pPr>
  </w:style>
  <w:style w:type="paragraph" w:customStyle="1" w:styleId="aff0">
    <w:name w:val="聯絡方式"/>
    <w:basedOn w:val="a4"/>
    <w:rPr>
      <w:sz w:val="24"/>
    </w:rPr>
  </w:style>
  <w:style w:type="paragraph" w:customStyle="1" w:styleId="aff1">
    <w:name w:val="郵遞區號"/>
    <w:basedOn w:val="afe"/>
    <w:pPr>
      <w:spacing w:line="280" w:lineRule="exact"/>
    </w:pPr>
    <w:rPr>
      <w:sz w:val="24"/>
    </w:rPr>
  </w:style>
  <w:style w:type="paragraph" w:customStyle="1" w:styleId="aff2">
    <w:name w:val="地址"/>
    <w:basedOn w:val="afe"/>
    <w:pPr>
      <w:spacing w:line="300" w:lineRule="exact"/>
      <w:ind w:left="0" w:firstLine="0"/>
      <w:jc w:val="both"/>
    </w:pPr>
    <w:rPr>
      <w:sz w:val="24"/>
    </w:rPr>
  </w:style>
  <w:style w:type="paragraph" w:styleId="aff3">
    <w:name w:val="Balloon Text"/>
    <w:basedOn w:val="a"/>
    <w:link w:val="aff4"/>
    <w:rsid w:val="006324D6"/>
    <w:rPr>
      <w:rFonts w:ascii="Cambria" w:eastAsia="新細明體" w:hAnsi="Cambria"/>
      <w:sz w:val="18"/>
      <w:szCs w:val="18"/>
    </w:rPr>
  </w:style>
  <w:style w:type="character" w:customStyle="1" w:styleId="aff4">
    <w:name w:val="註解方塊文字 字元"/>
    <w:link w:val="aff3"/>
    <w:rsid w:val="006324D6"/>
    <w:rPr>
      <w:rFonts w:ascii="Cambria" w:eastAsia="新細明體" w:hAnsi="Cambria" w:cs="Times New Roman"/>
      <w:kern w:val="2"/>
      <w:sz w:val="18"/>
      <w:szCs w:val="18"/>
    </w:rPr>
  </w:style>
  <w:style w:type="paragraph" w:styleId="aff5">
    <w:name w:val="List Paragraph"/>
    <w:basedOn w:val="a"/>
    <w:uiPriority w:val="34"/>
    <w:qFormat/>
    <w:rsid w:val="0031725D"/>
    <w:pPr>
      <w:widowControl/>
      <w:ind w:leftChars="200" w:left="480"/>
    </w:pPr>
    <w:rPr>
      <w:rFonts w:ascii="新細明體" w:eastAsia="新細明體" w:hAnsi="新細明體" w:cs="新細明體"/>
      <w:kern w:val="0"/>
      <w:szCs w:val="24"/>
    </w:rPr>
  </w:style>
  <w:style w:type="paragraph" w:styleId="Web">
    <w:name w:val="Normal (Web)"/>
    <w:basedOn w:val="a"/>
    <w:uiPriority w:val="99"/>
    <w:unhideWhenUsed/>
    <w:rsid w:val="003558E1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82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53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5981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037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578380">
          <w:marLeft w:val="1166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67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6126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745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26415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23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01779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919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5736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68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781948">
          <w:marLeft w:val="85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430820">
          <w:marLeft w:val="85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94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302029">
          <w:marLeft w:val="72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170473">
          <w:marLeft w:val="72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130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2704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&#33521;&#31119;&#36948;&#20844;&#25991;\&#20989;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B80F48-A661-479F-AA14-3C9C319E3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函</Template>
  <TotalTime>1</TotalTime>
  <Pages>4</Pages>
  <Words>229</Words>
  <Characters>1311</Characters>
  <Application>Microsoft Office Word</Application>
  <DocSecurity>0</DocSecurity>
  <Lines>10</Lines>
  <Paragraphs>3</Paragraphs>
  <ScaleCrop>false</ScaleCrop>
  <Company>InfoDoc Technology Corporation</Company>
  <LinksUpToDate>false</LinksUpToDate>
  <CharactersWithSpaces>1537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函</dc:title>
  <dc:creator>williamliu</dc:creator>
  <cp:lastModifiedBy>詹家安</cp:lastModifiedBy>
  <cp:revision>4</cp:revision>
  <cp:lastPrinted>2015-04-24T06:15:00Z</cp:lastPrinted>
  <dcterms:created xsi:type="dcterms:W3CDTF">2015-05-19T09:21:00Z</dcterms:created>
  <dcterms:modified xsi:type="dcterms:W3CDTF">2015-05-22T09:47:00Z</dcterms:modified>
</cp:coreProperties>
</file>